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SchAusrV 2026 — Anforderungen an Schiffsausrüstung</w:t>
      </w:r>
    </w:p>
    <w:p>
      <w:r>
        <w:rPr>
          <w:color w:val="555555"/>
          <w:sz w:val="18"/>
        </w:rPr>
        <w:t xml:space="preserve">Schiffsausrüstungsverordnung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Ein Wirtschaftsakteur darf Schiffsausrüstung im Sinne des § 1 Absatz 1 Nummer 2 nur dann auf dem Markt bereitstellen, wenn diese im Zeitpunkt der Bereitstellung</w:t>
      </w:r>
    </w:p>
    <w:p>
      <w:pPr>
        <w:ind w:left="420"/>
      </w:pPr>
      <w:r>
        <w:t xml:space="preserve">1. den Entwurfs-, Bau- und Leistungsanforderungen sowie den Prüfnormen der zum Zeitpunkt der Bereitstellung geltenden Durchführungsverordnung nach Artikel 35 Absatz 2 der Richtlinie 2014/90/EU entspricht,</w:t>
      </w:r>
    </w:p>
    <w:p>
      <w:pPr>
        <w:ind w:left="420"/>
      </w:pPr>
      <w:r>
        <w:t xml:space="preserve">2. ein ordnungsgemäßes EU-Konformitätsbewertungsverfahren nach § 10 durchlaufen hat und die notwendigen und gültigen Konformitätsbescheinigungen vorhanden sind,</w:t>
      </w:r>
    </w:p>
    <w:p>
      <w:pPr>
        <w:ind w:left="420"/>
      </w:pPr>
      <w:r>
        <w:t xml:space="preserve">3. mit einem Steuerrad-Kennzeichen nach § 12 oder einer elektronischen Kennzeichnung nach § 13 versehen ist und die übrigen Kennzeichnungspflichten dieser Verordnung erfüllt,</w:t>
      </w:r>
    </w:p>
    <w:p>
      <w:pPr>
        <w:ind w:left="420"/>
      </w:pPr>
      <w:r>
        <w:t xml:space="preserve">4. über eine bezogen auf die jeweilige Schiffsausrüstung aktuelle und durch den Hersteller korrekt ausgestellte EU-Konformitätserklärung nach § 11 verfügt und</w:t>
      </w:r>
    </w:p>
    <w:p>
      <w:pPr>
        <w:ind w:left="420"/>
      </w:pPr>
      <w:r>
        <w:t xml:space="preserve">5. mit allen erforderlichen Anleitungen und Informationen nach § 26 Absatz 4 ausgestattet ist und der Hersteller die in Anhang II Abschnitt I Nummer 3 der Richtlinie 2014/90/EU in der Fassung vom 30. April 2021 im Fall einer Baumusterprüfung und Abschnitt V Nummer 2 der Richtlinie 2014/90/EU in der Fassung vom 30. April 2021 im Fall einer Einzelprüfung genannten zugehörigen technischen Unterlagen vollständig erstellt hat und diese aufbewahrt und bereithält.</w:t>
      </w:r>
    </w:p>
    <w:p>
      <w:r>
        <w:rPr>
          <w:color w:val="555555"/>
          <w:sz w:val="17"/>
        </w:rPr>
        <w:t xml:space="preserve">Zitiervorschlag: § 4 SchAusrV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https://recht.nulegal.eu/gesetze/SchAusrV%202026/4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