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SchAusrV 2026 — Formale Nichtkonformität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Eine formale Nichtkonformität liegt bei Schiffsausrüstung im Sinne des § 1 Absatz 1 Nummer 2 vor, wenn</w:t>
      </w:r>
    </w:p>
    <w:p>
      <w:pPr>
        <w:ind w:left="420"/>
      </w:pPr>
      <w:r>
        <w:t xml:space="preserve">1. der Hersteller das Steuerrad-Kennzeichen unter Verstoß gegen § 4 Absatz 1 Nummer 1 und 2 angebracht hat,</w:t>
      </w:r>
    </w:p>
    <w:p>
      <w:pPr>
        <w:ind w:left="420"/>
      </w:pPr>
      <w:r>
        <w:t xml:space="preserve">2. der Hersteller das Steuerrad-Kennzeichen nicht oder unter Verstoß gegen § 12 angebracht hat,</w:t>
      </w:r>
    </w:p>
    <w:p>
      <w:pPr>
        <w:ind w:left="420"/>
      </w:pPr>
      <w:r>
        <w:t xml:space="preserve">3. der Hersteller die elektronische Kennzeichnung, die ein Steuerrad-Kennzeichen ersetzen oder ergänzen soll, nicht oder unter Verstoß gegen § 12 vorgenommen hat,</w:t>
      </w:r>
    </w:p>
    <w:p>
      <w:pPr>
        <w:ind w:left="420"/>
      </w:pPr>
      <w:r>
        <w:t xml:space="preserve">4. der Hersteller die EU-Konformitätserklärung nicht oder nicht ordnungsgemäß ausgestellt hat,</w:t>
      </w:r>
    </w:p>
    <w:p>
      <w:pPr>
        <w:ind w:left="420"/>
      </w:pPr>
      <w:r>
        <w:t xml:space="preserve">5. der Hersteller oder der Bevollmächtige Unterlagen nach § 26 Absatz 1 oder § 27 Absatz 2 Nummer 1 auf begründetes Verlangen des Bundesamts für Seeschifffahrt und Hydrographie nicht oder nicht vollständig vorlegen kann oder</w:t>
      </w:r>
    </w:p>
    <w:p>
      <w:pPr>
        <w:ind w:left="420"/>
      </w:pPr>
      <w:r>
        <w:t xml:space="preserve">6. die EU-Konformitätserklärung nicht an das mit der entsprechenden Schiffsausrüstung ausgestattete Schiff gesandt wurde.</w:t>
      </w:r>
    </w:p>
    <w:p>
      <w:r>
        <w:t xml:space="preserve">(2) Im Falle einer formalen Nichtkonformität gilt § 29 Absatz 3 und 4 entsprechend.</w:t>
      </w:r>
    </w:p>
    <w:p>
      <w:r>
        <w:rPr>
          <w:color w:val="555555"/>
          <w:sz w:val="17"/>
        </w:rPr>
        <w:t xml:space="preserve">Zitiervorschlag: § 30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