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SchAusrV 2026 — Befugnisse der Befugnis erteilenden und notifizierenden Behörde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Das Bundesamt für Seeschifffahrt und Hydrographie kann von den Konformitätsbewertungsstellen verlangen, dass ihm alle Auskünfte erteilt werden, die es benötigt zur sachgerechten Wahrnehmung seiner Aufgaben</w:t>
      </w:r>
    </w:p>
    <w:p>
      <w:pPr>
        <w:ind w:left="420"/>
      </w:pPr>
      <w:r>
        <w:t xml:space="preserve">1. als Befugnis erteilende und notifizierende Behörde und</w:t>
      </w:r>
    </w:p>
    <w:p>
      <w:pPr>
        <w:ind w:left="420"/>
      </w:pPr>
      <w:r>
        <w:t xml:space="preserve">2. der Überwachung nach dieser Verordnung.</w:t>
      </w:r>
    </w:p>
    <w:p>
      <w:r>
        <w:t xml:space="preserve">Es kann insbesondere die Vorlage der der Konformitätsbewertung zugrunde liegenden, auch elektronischen Unterlagen verlangen.</w:t>
      </w:r>
    </w:p>
    <w:p>
      <w:r>
        <w:rPr>
          <w:color w:val="555555"/>
          <w:sz w:val="17"/>
        </w:rPr>
        <w:t xml:space="preserve">Zitiervorschlag: § 25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