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SchAusrV 2026 — Antrag auf Erteilung der Befugnis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(1) Der Antrag auf Erteilung der Befugnis, als deutsche notifizierte Stelle zur Durchführung von EU-Konformitätsbewertungsverfahren nach § 10 tätig zu werden, ist an das Bundesamt für Seeschifffahrt und Hydrographie zu richten. Dem Antrag ist folgendes beizufügen:</w:t>
      </w:r>
    </w:p>
    <w:p>
      <w:pPr>
        <w:ind w:left="420"/>
      </w:pPr>
      <w:r>
        <w:t xml:space="preserve">1. eine Beschreibung der vorgesehenen Konformitätsbewertungstätigkeiten,</w:t>
      </w:r>
    </w:p>
    <w:p>
      <w:pPr>
        <w:ind w:left="420"/>
      </w:pPr>
      <w:r>
        <w:t xml:space="preserve">2. eine Beschreibung der Konformitätsbewertungsmodule,</w:t>
      </w:r>
    </w:p>
    <w:p>
      <w:pPr>
        <w:ind w:left="420"/>
      </w:pPr>
      <w:r>
        <w:t xml:space="preserve">3. eine Auflistung der Schiffsausrüstung, für die der Antragsteller die Kompetenz beansprucht und die Befugniserteilung beantragt,</w:t>
      </w:r>
    </w:p>
    <w:p>
      <w:pPr>
        <w:ind w:left="420"/>
      </w:pPr>
      <w:r>
        <w:t xml:space="preserve">4. ein Nachweis über die Rechtspersönlichkeit der Stelle nach § 14 Absatz 1 Nummer 1,</w:t>
      </w:r>
    </w:p>
    <w:p>
      <w:pPr>
        <w:ind w:left="420"/>
      </w:pPr>
      <w:r>
        <w:t xml:space="preserve">5. ein Nachweis über das Vorliegen einer Haftpflichtversicherung nach § 14 Absatz 2,</w:t>
      </w:r>
    </w:p>
    <w:p>
      <w:pPr>
        <w:ind w:left="420"/>
      </w:pPr>
      <w:r>
        <w:t xml:space="preserve">6. ein Nachweis über die Erfüllung der Anforderungen der Norm DIN EN ISO/IEC 17065:2012[4],</w:t>
      </w:r>
    </w:p>
    <w:p>
      <w:pPr>
        <w:ind w:left="420"/>
      </w:pPr>
      <w:r>
        <w:t xml:space="preserve">7. ein Nachweis der sachlichen und personellen Unabhängigkeit nach § 15,</w:t>
      </w:r>
    </w:p>
    <w:p>
      <w:pPr>
        <w:ind w:left="420"/>
      </w:pPr>
      <w:r>
        <w:t xml:space="preserve">8. ein Nachweis über die Erfüllung der Anforderungen an die Ausstattung der Konformitätsbewertungsstelle nach § 16 und</w:t>
      </w:r>
    </w:p>
    <w:p>
      <w:pPr>
        <w:ind w:left="420"/>
      </w:pPr>
      <w:r>
        <w:t xml:space="preserve">9. ein Nachweis über die Erfüllung der Anforderungen an die Befähigung und Fachkompetenz des Personals nach § 17.</w:t>
      </w:r>
    </w:p>
    <w:p>
      <w:r>
        <w:t xml:space="preserve">(2) Wenn es sich um den Antrag einer Behörde nach § 14 Absatz 1 Nummer 2 handelt, sind die Nachweise nach Absatz 1 Satz 2 Nummer 5 nicht erforderlich.</w:t>
      </w:r>
    </w:p>
    <w:p>
      <w:r>
        <w:t xml:space="preserve">(3) Kann eine einschlägige Akkreditierungsurkunde, die von der nationalen Akkreditierungsstelle ausgestellt wurde, vorgelegt werden, entscheidet das Bundesamt für Seeschifffahrt und Hydrographie, welche Unterlagen nach Absatz 1 dem Antrag beizufügen sind.</w:t>
      </w:r>
    </w:p>
    <w:p>
      <w:r>
        <w:t xml:space="preserve">4 Die DIN-Norm DIN EN ISO/IEC 17065:2012 ist bei der DIN Media GmbH, Berlin, zu beziehen und beim Deutschen Patent- und Markenamt in München archivmäßig gesichert niedergelegt.</w:t>
      </w:r>
    </w:p>
    <w:p>
      <w:r>
        <w:rPr>
          <w:color w:val="555555"/>
          <w:sz w:val="17"/>
        </w:rPr>
        <w:t xml:space="preserve">Zitiervorschlag: § 18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