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SchAusrV 2026 — Anforderungen an die Konformitätsbewertungsstelle für ihre Notifizierung</w:t>
      </w:r>
    </w:p>
    <w:p>
      <w:r>
        <w:rPr>
          <w:color w:val="555555"/>
          <w:sz w:val="18"/>
        </w:rPr>
        <w:t xml:space="preserve">Schiffsausrüstungsverordnung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(1) Eine Konformitätsbewertungsstelle als notifizierte Stelle im Sinne der Richtlinie 2014/90/EU muss</w:t>
      </w:r>
    </w:p>
    <w:p>
      <w:pPr>
        <w:ind w:left="420"/>
      </w:pPr>
      <w:r>
        <w:t xml:space="preserve">1. nach deutschem oder europäischem Recht gegründet und nach deutschem Recht mit Rechtspersönlichkeit ausgestattet oder</w:t>
      </w:r>
    </w:p>
    <w:p>
      <w:pPr>
        <w:ind w:left="420"/>
      </w:pPr>
      <w:r>
        <w:t xml:space="preserve">2. eine deutsche Behörde sein.</w:t>
      </w:r>
    </w:p>
    <w:p>
      <w:r>
        <w:t xml:space="preserve">(2) Eine Konformitätsbewertungsstelle nach Absatz 1 Nummer 1 muss eine Haftpflichtversicherung abschließen, die die mit ihrer Tätigkeit verbundenen Risiken angemessen abdeckt.</w:t>
      </w:r>
    </w:p>
    <w:p>
      <w:r>
        <w:t xml:space="preserve">(3) Eine Konformitätsbewertungsstelle muss die Anforderungen der Norm DIN EN ISO/IEC 17065:2012[3] hinsichtlich der Grundsätze für die Zertifizierung von Produkten, Prozessen und Dienstleistungen erfüllen.</w:t>
      </w:r>
    </w:p>
    <w:p>
      <w:r>
        <w:t xml:space="preserve">3 Die DIN-Norm DIN EN ISO/IEC 17065:2012 ist bei der DIN Media GmbH, Berlin, zu beziehen und beim Deutschen Patent- und Markenamt in München archivmäßig gesichert niedergelegt.</w:t>
      </w:r>
    </w:p>
    <w:p>
      <w:r>
        <w:rPr>
          <w:color w:val="555555"/>
          <w:sz w:val="17"/>
        </w:rPr>
        <w:t xml:space="preserve">Zitiervorschlag: § 14 SchAusrV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https://recht.nulegal.eu/gesetze/SchAusrV%202026/14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