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SchAusrV 2026 — Elektronische Kennzeichnung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Schiffsausrüstung, die die Europäische Kommission aufgrund des Artikels 11 Absatz 3 in Verbindung mit Artikel 37 der Richtlinie 2014/90/EU durch Rechtsakt festgelegt hat, kann der Hersteller das Steuerrad-Kennzeichen durch eine elektronische Kennzeichnung in geeigneter sicherer und dauerhafter Form ersetzen oder ergänzen. Soweit die elektronische Kennzeichnung das Steuerrad-Kennzeichen ersetzt, muss diese die in § 12 Absatz 2 Satz 1 genannten Informationen entsprechend enthalten.</w:t>
      </w:r>
    </w:p>
    <w:p>
      <w:r>
        <w:t xml:space="preserve">(2) Die elektronische Kennzeichnung muss den Anforderungen der Durchführungsverordnung (EU) 2018/608 in der Fassung vom 19. April 2018 entsprechen.</w:t>
      </w:r>
    </w:p>
    <w:p>
      <w:r>
        <w:rPr>
          <w:color w:val="555555"/>
          <w:sz w:val="17"/>
        </w:rPr>
        <w:t xml:space="preserve">Zitiervorschlag: § 13 SchAusrV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https://recht.nulegal.eu/gesetze/SchAusrV%202026/13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