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SchAusnahmV</w:t>
      </w:r>
    </w:p>
    <w:p>
      <w:r>
        <w:rPr>
          <w:color w:val="555555"/>
          <w:sz w:val="18"/>
        </w:rPr>
        <w:t xml:space="preserve">COVID-19-Schutzmaßnahmen-Ausnahmenverordnung</w:t>
      </w:r>
    </w:p>
    <w:p>
      <w:r>
        <w:rPr>
          <w:color w:val="555555"/>
          <w:sz w:val="18"/>
        </w:rPr>
        <w:t xml:space="preserve">Stand: 11.05.2021 (konsolidierte Textfassung, kein amtliches Inkrafttretensdatum)</w:t>
      </w:r>
    </w:p>
    <w:p>
      <w:r>
        <w:t xml:space="preserve">Auf Grund des § 28c des Infektionsschutzgesetzes, der durch Artikel 6 Nummer 1 des Gesetzes vom 7. Mai 2021 (BGBl. I S. 850) geändert worden ist, verordnet die Bundesregierung unter Berücksichtigung des Beschlusses des Bundestages vom 6. Mai 2021:</w:t>
      </w:r>
    </w:p>
    <w:p>
      <w:r>
        <w:rPr>
          <w:color w:val="555555"/>
          <w:sz w:val="17"/>
        </w:rPr>
        <w:t xml:space="preserve">Zitiervorschlag: Eingangsformel SchAusnahmV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https://recht.nulegal.eu/gesetze/SchAusnahmV/eingangsformel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