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SchAusnahmV — Ausnahmen von der Beschränkung von Zusammenkünften</w:t>
      </w:r>
    </w:p>
    <w:p>
      <w:r>
        <w:rPr>
          <w:color w:val="555555"/>
          <w:sz w:val="18"/>
        </w:rPr>
        <w:t xml:space="preserve">COVID-19-Schutzmaßnahmen-Ausnahmenverordnung</w:t>
      </w:r>
    </w:p>
    <w:p>
      <w:r>
        <w:rPr>
          <w:color w:val="555555"/>
          <w:sz w:val="18"/>
        </w:rPr>
        <w:t xml:space="preserve">Außer Kraft: § 8 ist seit 24.11.2021 nicht mehr im SchAusnahmV enthalten. Angezeigt wird die letzte bekannte Fassung, Stand 11.05.2021.</w:t>
      </w:r>
    </w:p>
    <w:p>
      <w:r>
        <w:t xml:space="preserve">(1) Sofern auf Grund der Vorschriften des fünften Abschnitts des Infektionsschutzgesetzes erlassenes Landesrecht die Anzahl von Personen begrenzt wird, gilt diese Begrenzung nicht für private Zusammenkünfte sowie für ähnliche soziale Kontakte, wenn an der Zusammenkunft ausschließlich geimpfte Personen oder genesene Personen teilnehmen.</w:t>
      </w:r>
    </w:p>
    <w:p>
      <w:r>
        <w:t xml:space="preserve">(2) Sofern auf Grund der Vorschriften des fünften Abschnitts des Infektionsschutzgesetzes erlassenes Landesrecht die Zahl der Teilnehmer bei einer privaten Zusammenkunft oder bei ähnlichen sozialen Kontakten beschränkt, bleiben geimpfte Personen und genesene Personen bei der Ermittlung der Zahl der Teilnehmer unberücksichtigt.</w:t>
      </w:r>
    </w:p>
    <w:p>
      <w:r>
        <w:t xml:space="preserve">(3) Die Anordnung von Schutzmaßnahmen, die zur Abwendung einer Gefahr für Personen, die auf Grund ihres Alters oder ihres Gesundheitszustandes ein erhöhtes Risiko für einen schweren oder tödlichen Krankheitsverlauf haben, erforderlich sind, bleibt unberührt.</w:t>
      </w:r>
    </w:p>
    <w:p>
      <w:r>
        <w:rPr>
          <w:color w:val="555555"/>
          <w:sz w:val="17"/>
        </w:rPr>
        <w:t xml:space="preserve">Zitiervorschlag: § 8 SchAusnahmV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https://recht.nulegal.eu/gesetze/SchAusnahmV/8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SchAusnahmV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