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SchAusnahmV — Begriffsbestimmungen</w:t>
      </w:r>
    </w:p>
    <w:p>
      <w:r>
        <w:rPr>
          <w:color w:val="555555"/>
          <w:sz w:val="18"/>
        </w:rPr>
        <w:t xml:space="preserve">COVID-19-Schutzmaßnahmen-Ausnahmenverordnung</w:t>
      </w:r>
    </w:p>
    <w:p>
      <w:r>
        <w:rPr>
          <w:color w:val="555555"/>
          <w:sz w:val="18"/>
        </w:rPr>
        <w:t xml:space="preserve">Stand: 19.03.2022 (konsolidierte Textfassung, kein amtliches Inkrafttretensdatum)</w:t>
      </w:r>
    </w:p>
    <w:p>
      <w:r>
        <w:t xml:space="preserve">Im Sinne dieser Verordnung ist</w:t>
      </w:r>
    </w:p>
    <w:p>
      <w:pPr>
        <w:ind w:left="420"/>
      </w:pPr>
      <w:r>
        <w:t xml:space="preserve">1. eine asymptomatische Person, eine Person, bei der aktuell kein typisches Symptom oder sonstiger Anhaltspunkt für eine Infektion mit dem Coronavirus SARS-CoV-2 vorliegt; typische Symptome einer Infektion mit dem Coronavirus SARS-CoV-2 sind Atemnot, neu auftretender Husten, Fieber und Geruchs- oder Geschmacksverlust,</w:t>
      </w:r>
    </w:p>
    <w:p>
      <w:pPr>
        <w:ind w:left="420"/>
      </w:pPr>
      <w:r>
        <w:t xml:space="preserve">2. eine geimpfte Person eine asymptomatische Person, die im Besitz eines auf sie ausgestellten Impfnachweises im Sinne von § 22a Absatz 1 des Infektionsschutzgesetzes ist,</w:t>
      </w:r>
    </w:p>
    <w:p>
      <w:pPr>
        <w:ind w:left="420"/>
      </w:pPr>
      <w:r>
        <w:t xml:space="preserve">3. (weggefallen)</w:t>
      </w:r>
    </w:p>
    <w:p>
      <w:pPr>
        <w:ind w:left="420"/>
      </w:pPr>
      <w:r>
        <w:t xml:space="preserve">4. eine genesene Person eine asymptomatische Person, die im Besitz eines auf sie ausgestellten Genesenennachweises im Sinne von § 22a Absatz 2 des Infektionsschutzgesetzes ist,</w:t>
      </w:r>
    </w:p>
    <w:p>
      <w:pPr>
        <w:ind w:left="420"/>
      </w:pPr>
      <w:r>
        <w:t xml:space="preserve">5. (weggefallen)</w:t>
      </w:r>
    </w:p>
    <w:p>
      <w:pPr>
        <w:ind w:left="420"/>
      </w:pPr>
      <w:r>
        <w:t xml:space="preserve">6. eine getestete Person eine asymptomatische Person, die</w:t>
      </w:r>
    </w:p>
    <w:p>
      <w:pPr>
        <w:ind w:left="780"/>
      </w:pPr>
      <w:r>
        <w:t xml:space="preserve">a) das sechste Lebensjahr noch nicht vollendet hat oder</w:t>
      </w:r>
    </w:p>
    <w:p>
      <w:pPr>
        <w:ind w:left="780"/>
      </w:pPr>
      <w:r>
        <w:t xml:space="preserve">b) im Besitz eines auf sie ausgestellten Testnachweises im Sinne von § 22a Absatz 3 des Infektionsschutzgesetzes ist,</w:t>
      </w:r>
    </w:p>
    <w:p>
      <w:pPr>
        <w:ind w:left="420"/>
      </w:pPr>
      <w:r>
        <w:t xml:space="preserve">7. (weggefallen)</w:t>
      </w:r>
    </w:p>
    <w:p>
      <w:pPr>
        <w:ind w:left="420"/>
      </w:pPr>
      <w:r>
        <w:t xml:space="preserve">8. auf Grund der Vorschriften des fünften Abschnitts des Infektionsschutzgesetzes erlassenes Landesrecht eine Rechtsverordnung oder eine Allgemeinverfügung, die ein Land oder eine nach Landesrecht zuständige Stelle auf Grund der Vorschriften des fünften Abschnitts des Infektionsschutzgesetzes zur Verhinderung der Verbreitung der Coronavirus-Krankheit-2019 (COVID-19) erlassen hat.</w:t>
      </w:r>
    </w:p>
    <w:p>
      <w:r>
        <w:rPr>
          <w:color w:val="555555"/>
          <w:sz w:val="17"/>
        </w:rPr>
        <w:t xml:space="preserve">Zitiervorschlag: § 2 SchAusnahmV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https://recht.nulegal.eu/gesetze/SchAusnahmV/2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