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SchAnpG 2 — Neubekanntmachung des Seeaufgabengesetzes</w:t>
      </w:r>
    </w:p>
    <w:p>
      <w:r>
        <w:rPr>
          <w:color w:val="555555"/>
          <w:sz w:val="18"/>
        </w:rPr>
        <w:t xml:space="preserve">Zweites Seeschifffahrtsanpassungsgesetz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Verkehr, Bau- und Wohnungswesen kann den Wortlaut des Seeaufgabengesetzes in der vom Inkrafttreten dieses Gesetzes an geltenden Fassung im Bundesgesetzblatt bekannt machen.</w:t>
      </w:r>
    </w:p>
    <w:p>
      <w:r>
        <w:rPr>
          <w:color w:val="555555"/>
          <w:sz w:val="17"/>
        </w:rPr>
        <w:t xml:space="preserve">Zitiervorschlag: Art 8 SchAnpG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https://recht.nulegal.eu/gesetze/SchAnpG%202/8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