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SchAnpG 2 — Rückkehr zum einheitlichen Verordnungsrang</w:t>
      </w:r>
    </w:p>
    <w:p>
      <w:r>
        <w:rPr>
          <w:color w:val="555555"/>
          <w:sz w:val="18"/>
        </w:rPr>
        <w:t xml:space="preserve">Zweites Seeschifffahrtsanpassungsgesetz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auf den Artikeln 3 und 4 beruhenden Teile der dort geänderten Rechtsverordnungen können auf Grund der jeweils einschlägigen Ermächtigungen durch Rechtsverordnung geändert werden.</w:t>
      </w:r>
    </w:p>
    <w:p>
      <w:r>
        <w:rPr>
          <w:color w:val="555555"/>
          <w:sz w:val="17"/>
        </w:rPr>
        <w:t xml:space="preserve">Zitiervorschlag: Art 7 SchAnpG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https://recht.nulegal.eu/gesetze/SchAnpG%202/7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