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SchAG NRW (Nordrhein-Westfalen) — Stellvertretung</w:t>
      </w:r>
    </w:p>
    <w:p>
      <w:r>
        <w:rPr>
          <w:color w:val="555555"/>
          <w:sz w:val="18"/>
        </w:rPr>
        <w:t xml:space="preserve">Schiedsamtsgesetz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Schiedsperson wird von der Gemeinde eine stellvertretende Schiedsperson gewählt oder aus dem Kreis weiterer Schiedspersonen durch Vertretungsregelung festgelegt. Ist auch die stellvertretende Schiedsperson vorübergehend oder dauernd verhindert, das Amt auszuüben, so kann die Leitung des Amtsgerichts (§ 4) eine benachbarte Schiedsperson oder eine benachbarte stellvertretende Schiedsperson beauftragen, das Amt einstweilen wahrzunehmen.</w:t>
      </w:r>
    </w:p>
    <w:p>
      <w:r>
        <w:t xml:space="preserve">(2) Auf die stellvertretenden Schiedspersonen sind die Vorschriften dieses Gesetzes entsprechend anzuwenden.</w:t>
      </w:r>
    </w:p>
    <w:p>
      <w:r>
        <w:rPr>
          <w:color w:val="555555"/>
          <w:sz w:val="17"/>
        </w:rPr>
        <w:t xml:space="preserve">Zitiervorschlag: § 11 SchAG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https://recht.nulegal.eu/gesetze/SchAG%20NRW/11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SchAG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