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SchädlBekAusbV</w:t>
      </w:r>
    </w:p>
    <w:p>
      <w:r>
        <w:rPr>
          <w:color w:val="555555"/>
          <w:sz w:val="18"/>
        </w:rPr>
        <w:t xml:space="preserve">Verordnung über die Berufsausbildung zum Schädlingsbekämpfer/zur Schädlingsbekämpferin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Nr. 2 der Verordnung vom 29. Oktober 2001 (BGBl. I S. 2785) geändert worden ist, verordnet das Bundesministerium für Wirtschaft und Arbeit im Einvernehmen mit dem Bundesministerium für Bildung und Forschung und dem Bundesministerium für Verbraucherschutz, Ernährung und Landwirtschaft:</w:t>
      </w:r>
    </w:p>
    <w:p>
      <w:r>
        <w:rPr>
          <w:color w:val="555555"/>
          <w:sz w:val="17"/>
        </w:rPr>
        <w:t xml:space="preserve">Zitiervorschlag: Eingangsformel SchädlBekAusbV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https://recht.nulegal.eu/gesetze/Sch%C3%A4dlBekAusbV/eingangsformel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