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SchÄV (Brandenburg) — Inkrafttreten</w:t>
      </w:r>
    </w:p>
    <w:p>
      <w:r>
        <w:rPr>
          <w:color w:val="555555"/>
          <w:sz w:val="18"/>
        </w:rPr>
        <w:t xml:space="preserve">Schulämterverordnung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rückwirkend zum 1. Februar 2023 in Kraft.</w:t>
      </w:r>
    </w:p>
    <w:p>
      <w:r>
        <w:t xml:space="preserve">Potsdam, den 5. April 2023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Britta Ernst</w:t>
      </w:r>
    </w:p>
    <w:p>
      <w:r>
        <w:rPr>
          <w:color w:val="555555"/>
          <w:sz w:val="17"/>
        </w:rPr>
        <w:t xml:space="preserve">Zitiervorschlag: § 4 SchÄV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https://recht.nulegal.eu/gesetze/Sch%C3%84V/4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SchÄV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