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SchÄV (Brandenburg) — Übertragung überregionaler Aufgaben</w:t>
      </w:r>
    </w:p>
    <w:p>
      <w:r>
        <w:rPr>
          <w:color w:val="555555"/>
          <w:sz w:val="18"/>
        </w:rPr>
        <w:t xml:space="preserve">Schulämterverordnung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Ausübung der Schulaufsicht werden den staatlichen Schulämtern für den Bereich anderer staatlicher Schulämter die in der Anlage festgelegten Zuständigkeiten übertragen.</w:t>
      </w:r>
    </w:p>
    <w:p>
      <w:r>
        <w:rPr>
          <w:color w:val="555555"/>
          <w:sz w:val="17"/>
        </w:rPr>
        <w:t xml:space="preserve">Zitiervorschlag: § 3 SchÄV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https://recht.nulegal.eu/gesetze/Sch%C3%84V/3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