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SattlFeintMstrV — Allgemeine Prüfungs- und Verfahrensregelungen, weitere Regelungen zur Meisterprüfung</w:t>
      </w:r>
    </w:p>
    <w:p>
      <w:r>
        <w:rPr>
          <w:color w:val="555555"/>
          <w:sz w:val="18"/>
        </w:rPr>
        <w:t xml:space="preserve">Sattler- und Feintäschnermeisterverordnung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8 SattlFeintMstrV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https://recht.nulegal.eu/gesetze/SattlFeintMstrV/8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