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SattlFeintMstrV — Gliederung des Teils I</w:t>
      </w:r>
    </w:p>
    <w:p>
      <w:r>
        <w:rPr>
          <w:color w:val="555555"/>
          <w:sz w:val="18"/>
        </w:rPr>
        <w:t xml:space="preserve">Sattler- und Feintäschnermeisterverordnung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Teil I der Meisterprüfung umfasst als Prüfungsbereich ein Meisterprüfungsprojekt und ein darauf bezogenes Fachgespräch.</w:t>
      </w:r>
    </w:p>
    <w:p>
      <w:r>
        <w:rPr>
          <w:color w:val="555555"/>
          <w:sz w:val="17"/>
        </w:rPr>
        <w:t xml:space="preserve">Zitiervorschlag: § 3 SattlFeintMstrV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https://recht.nulegal.eu/gesetze/SattlFeintMstrV/3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