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10 SattlFeintMstrV — Inkrafttreten, Außerkrafttreten</w:t>
      </w:r>
    </w:p>
    <w:p>
      <w:r>
        <w:rPr>
          <w:color w:val="555555"/>
          <w:sz w:val="18"/>
        </w:rPr>
        <w:t xml:space="preserve">Sattler- und Feintäschnermeisterverordnung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1. Januar 2009 in Kraft.</w:t>
      </w:r>
    </w:p>
    <w:p>
      <w:r>
        <w:rPr>
          <w:color w:val="555555"/>
          <w:sz w:val="17"/>
        </w:rPr>
        <w:t xml:space="preserve">Zitiervorschlag: § 10 SattlFeintMstrV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https://recht.nulegal.eu/gesetze/SattlFeintMstrV/10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