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SattlFeintMstrV — Gliederung und Inhalt der Meisterprüfung</w:t>
      </w:r>
    </w:p>
    <w:p>
      <w:r>
        <w:rPr>
          <w:color w:val="555555"/>
          <w:sz w:val="18"/>
        </w:rPr>
        <w:t xml:space="preserve">Sattler- und Feintäschnermeisterverordnung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zulassungsfreien Sattler- und Feintäschner-Handwerk umfasst folgende selbständige Prüfungsteile:</w:t>
      </w:r>
    </w:p>
    <w:p>
      <w:pPr>
        <w:ind w:left="420"/>
      </w:pPr>
      <w:r>
        <w:t xml:space="preserve">1. die Prüfung der meisterhaften Verrichtung der Tätigkeiten (Teil I),</w:t>
      </w:r>
    </w:p>
    <w:p>
      <w:pPr>
        <w:ind w:left="420"/>
      </w:pPr>
      <w:r>
        <w:t xml:space="preserve">2. die Prüfung der besonderen fachtheoretischen Kenntnisse (Teil II),</w:t>
      </w:r>
    </w:p>
    <w:p>
      <w:pPr>
        <w:ind w:left="420"/>
      </w:pPr>
      <w:r>
        <w:t xml:space="preserve">3. die Prüfung der besonderen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SattlFeintMstrV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https://recht.nulegal.eu/gesetze/SattlFeintMstrV/1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