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4 SatellitÜbkG — Inkrafttreten</w:t>
      </w:r>
    </w:p>
    <w:p>
      <w:r>
        <w:rPr>
          <w:color w:val="555555"/>
          <w:sz w:val="18"/>
        </w:rPr>
        <w:t xml:space="preserve">Gesetz zu dem Übereinkommen vom 21. Mai 1974 über die Verbreitung der durch Satelliten übertragenen programmtragenden Signale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Dieses Gesetz tritt am Tage nach seiner Verkündung in Kraft.</w:t>
      </w:r>
    </w:p>
    <w:p>
      <w:r>
        <w:t xml:space="preserve">(2) Der Tag, an dem das Übereinkommen nach seinem Artikel 10 für die Bundesrepublik Deutschland in Kraft tritt, ist im Bundesgesetzblatt bekanntzugeben.</w:t>
      </w:r>
    </w:p>
    <w:p>
      <w:r>
        <w:rPr>
          <w:color w:val="555555"/>
          <w:sz w:val="17"/>
        </w:rPr>
        <w:t xml:space="preserve">Zitiervorschlag: Art 4 SatellitÜbkG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https://recht.nulegal.eu/gesetze/Satellit%C3%9CbkG/4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