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SatDSiV</w:t>
      </w:r>
    </w:p>
    <w:p>
      <w:r>
        <w:rPr>
          <w:color w:val="555555"/>
          <w:sz w:val="18"/>
        </w:rPr>
        <w:t xml:space="preserve">Satellitendatensicherheitsverordnung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 Abs. 2 des Satellitendatensicherheitsgesetzes vom 23. November 2007 (BGBl. I S. 2590) und auf Grund des § 17 Abs. 3 Satz 1 des Satellitendatensicherheitsgesetzes im Einvernehmen mit dem Auswärtigen Amt, dem Bundesministerium des Innern und dem Bundesministerium der Verteidigung verordnet das Bundesministerium für Wirtschaft und Technologie:</w:t>
      </w:r>
    </w:p>
    <w:p>
      <w:r>
        <w:rPr>
          <w:color w:val="555555"/>
          <w:sz w:val="17"/>
        </w:rPr>
        <w:t xml:space="preserve">Zitiervorschlag: Eingangsformel SatDSiV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