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SatDSiV — Sensitive Anfragen</w:t>
      </w:r>
    </w:p>
    <w:p>
      <w:r>
        <w:rPr>
          <w:color w:val="555555"/>
          <w:sz w:val="18"/>
        </w:rPr>
        <w:t xml:space="preserve">Satellitendatensicherheitsverordnung</w:t>
      </w:r>
    </w:p>
    <w:p>
      <w:r>
        <w:rPr>
          <w:color w:val="555555"/>
          <w:sz w:val="18"/>
        </w:rPr>
        <w:t xml:space="preserve">Stand: 10.06.2019 (konsolidierte Textfassung, kein amtliches Inkrafttretensdatum)</w:t>
      </w:r>
    </w:p>
    <w:p>
      <w:r>
        <w:t xml:space="preserve">(1) Eine Anfrage der Bundesrepublik Deutschland nach § 21 des Satellitendatensicherheitsgesetzes oder einer deutschen militärischen oder nachrichtendienstlichen Behörde ist nicht sensitiv.</w:t>
      </w:r>
    </w:p>
    <w:p>
      <w:r>
        <w:t xml:space="preserve">(2) Im Übrigen ist eine Anfrage sensitiv, wenn</w:t>
      </w:r>
    </w:p>
    <w:p>
      <w:pPr>
        <w:ind w:left="420"/>
      </w:pPr>
      <w:r>
        <w:t xml:space="preserve">1. die Daten an ein Bodensegment übermittelt werden sollen, das nicht von der NATO, der Europäischen Union, einem Mitgliedstaat der NATO oder der Europäischen Union, Australien, Japan, Neuseeland oder der Schweiz betrieben wird und sich auf dem Staatsgebiet eines Landes befindet, das in Anlage 1 aufgeführt ist, oder</w:t>
      </w:r>
    </w:p>
    <w:p>
      <w:pPr>
        <w:ind w:left="420"/>
      </w:pPr>
      <w:r>
        <w:t xml:space="preserve">2. das dargestellte Zielgebiet nicht in Anlage 2 aufgeführt ist, die Daten in mindestens einer Raumrichtung eine geometrische Auflösung von 2,5 Metern oder weniger haben und</w:t>
      </w:r>
    </w:p>
    <w:p>
      <w:pPr>
        <w:ind w:left="780"/>
      </w:pPr>
      <w:r>
        <w:t xml:space="preserve">a) das dargestellte Zielgebiet in Anlage 3 aufgeführt ist, oder</w:t>
      </w:r>
    </w:p>
    <w:p>
      <w:pPr>
        <w:ind w:left="780"/>
      </w:pPr>
      <w:r>
        <w:t xml:space="preserve">b) die Person des Anfragenden nicht in Anlage 4 aufgeführt ist, der Zeitraum zwischen der Erzeugung der Daten und der Bedienung der Anfrage weniger als fünf Tage beträgt und</w:t>
      </w:r>
    </w:p>
    <w:p>
      <w:pPr>
        <w:ind w:left="1140"/>
      </w:pPr>
      <w:r>
        <w:t xml:space="preserve">aa) die Daten in mindestens einer Raumrichtung eine geometrische Auflösung von 1,2 Metern oder weniger haben oder</w:t>
      </w:r>
    </w:p>
    <w:p>
      <w:pPr>
        <w:ind w:left="1140"/>
      </w:pPr>
      <w:r>
        <w:t xml:space="preserve">bb) sich aus den Daten (neben der Radarintensität auch) Phaseninformation rekonstruieren lässt</w:t>
      </w:r>
    </w:p>
    <w:p>
      <w:pPr>
        <w:ind w:left="420"/>
      </w:pPr>
      <w:r>
        <w:t xml:space="preserve">oder</w:t>
      </w:r>
    </w:p>
    <w:p>
      <w:pPr>
        <w:ind w:left="420"/>
      </w:pPr>
      <w:r>
        <w:t xml:space="preserve">3. Daten im Spektralbereich von 8 bis 12 Mikrometern (thermisches Infrarot) oder mit einem super- oder hyperspektralen Sensor erzeugt werden.</w:t>
      </w:r>
    </w:p>
    <w:p>
      <w:r>
        <w:t xml:space="preserve">(3) Der Prüfablauf zur Bestimmung sensitiver Anfragen nach Absatz 1 und 2 ist in Anlage 5 als Abfolge der Entscheidungsschritte in einem Flussdiagramm dargestellt.</w:t>
      </w:r>
    </w:p>
    <w:p>
      <w:r>
        <w:rPr>
          <w:color w:val="555555"/>
          <w:sz w:val="17"/>
        </w:rPr>
        <w:t xml:space="preserve">Zitiervorschlag: § 2 SatDSiV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