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SatDSiV — Daten mit besonders hohem Informationsgehalt</w:t>
      </w:r>
    </w:p>
    <w:p>
      <w:r>
        <w:rPr>
          <w:color w:val="555555"/>
          <w:sz w:val="18"/>
        </w:rPr>
        <w:t xml:space="preserve">Satellitendatensicherheitsverordnung</w:t>
      </w:r>
    </w:p>
    <w:p>
      <w:r>
        <w:rPr>
          <w:color w:val="555555"/>
          <w:sz w:val="18"/>
        </w:rPr>
        <w:t xml:space="preserve">Stand: 10.06.2019 (konsolidierte Textfassung, kein amtliches Inkrafttretensdatum)</w:t>
      </w:r>
    </w:p>
    <w:p>
      <w:r>
        <w:t xml:space="preserve">(1) Ein Sensor eines Erdfernerkundungssystems ist alleine oder in Kombination mit einem oder mehreren Sensoren technisch in der Lage, Daten mit besonders hohem Informationsgehalt zu erzeugen, wenn in mindestens einer Raumrichtung eine geometrische Auflösung von 2,5 Metern oder weniger erzeugt werden kann.</w:t>
      </w:r>
    </w:p>
    <w:p>
      <w:r>
        <w:t xml:space="preserve">(2) Ein besonders hoher Informationsgehalt ist auch gegeben, wenn</w:t>
      </w:r>
    </w:p>
    <w:p>
      <w:pPr>
        <w:ind w:left="420"/>
      </w:pPr>
      <w:r>
        <w:t xml:space="preserve">1. im Spektralbereich von 8 bis 12 Mikrometern (thermisches Infrarot) in mindestens einer Raumrichtung eine geometrische Auflösung von 5 Metern oder weniger erzeugt werden kann,</w:t>
      </w:r>
    </w:p>
    <w:p>
      <w:pPr>
        <w:ind w:left="420"/>
      </w:pPr>
      <w:r>
        <w:t xml:space="preserve">2. im Spektralbereich zwischen 1 Millimeter und 1 Meter (Mikrowellen) in mindestens einer Raumrichtung eine geometrische Auflösung von 3 Metern oder weniger erzeugt werden kann oder</w:t>
      </w:r>
    </w:p>
    <w:p>
      <w:pPr>
        <w:ind w:left="420"/>
      </w:pPr>
      <w:r>
        <w:t xml:space="preserve">3. die Zahl der Spektralkanäle 49 übersteigt (super- und hyperspektrale Sensoren) und in mindestens einer Raumrichtung eine geometrische Auflösung von 10 Metern oder weniger erzeugt werden kann.</w:t>
      </w:r>
    </w:p>
    <w:p>
      <w:r>
        <w:rPr>
          <w:color w:val="555555"/>
          <w:sz w:val="17"/>
        </w:rPr>
        <w:t xml:space="preserve">Zitiervorschlag: § 1 SatDSiV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