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SatDSiGebV</w:t>
      </w:r>
    </w:p>
    <w:p>
      <w:r>
        <w:rPr>
          <w:color w:val="555555"/>
          <w:sz w:val="18"/>
        </w:rPr>
        <w:t xml:space="preserve">Gebührenverordnung zum Satellitendatensicherheitsgesetz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Auf Grund des § 26 Satz 2, 3 und 4 des Satellitendatensicherheitsgesetzes vom 23. November 2007 (BGBl. I S. 2590) in Verbindung mit dem 2. Abschnitt des Verwaltungskostengesetzes vom 23. Juni 1970 (BGBl. I S. 821) verordnet das Bundesministerium für Wirtschaft und Technologie:</w:t>
      </w:r>
    </w:p>
    <w:p>
      <w:r>
        <w:rPr>
          <w:color w:val="555555"/>
          <w:sz w:val="17"/>
        </w:rPr>
        <w:t xml:space="preserve">Zitiervorschlag: Eingangsformel SatDSiGebV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https://recht.nulegal.eu/gesetze/SatDSiGebV/eingangsformel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