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SatDSiGebV — Inkrafttreten</w:t>
      </w:r>
    </w:p>
    <w:p>
      <w:r>
        <w:rPr>
          <w:color w:val="555555"/>
          <w:sz w:val="18"/>
        </w:rPr>
        <w:t xml:space="preserve">Gebührenverordnung zum Satellitendatensicherheitsgesetz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SatDSiGebV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