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SatDSiGebV — Gebührenerhebung</w:t>
      </w:r>
    </w:p>
    <w:p>
      <w:r>
        <w:rPr>
          <w:color w:val="555555"/>
          <w:sz w:val="18"/>
        </w:rPr>
        <w:t xml:space="preserve">Gebührenverordnung zum Satellitendatensicherheitsgesetz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individuell zurechenbare öffentliche Leistungen der nach § 24 des Satellitendatensicherheitsgesetzes zuständigen Behörde werden Gebühren erhoben. Die gebührenpflichtigen Tatbestände und die Höhe der Gebühren ergeben sich aus dem Gebührenverzeichnis in der Anlage zu dieser Verordnung.</w:t>
      </w:r>
    </w:p>
    <w:p>
      <w:r>
        <w:rPr>
          <w:color w:val="555555"/>
          <w:sz w:val="17"/>
        </w:rPr>
        <w:t xml:space="preserve">Zitiervorschlag: § 1 SatDSiGebV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