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SatDSiG — Anzeigepflicht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eines hochwertigen Erdfernerkundungssystems hat der zuständigen Behörde</w:t>
      </w:r>
    </w:p>
    <w:p>
      <w:pPr>
        <w:ind w:left="420"/>
      </w:pPr>
      <w:r>
        <w:t xml:space="preserve">1. Änderungen von Tatsachen, die er zur Eintragung in das Handels- oder Vereinsregister anzumelden hat, und</w:t>
      </w:r>
    </w:p>
    <w:p>
      <w:pPr>
        <w:ind w:left="780"/>
      </w:pPr>
      <w:r>
        <w:t xml:space="preserve">a) soweit der Betreiber in der Rechtsform einer Personenhandelsgesellschaft tätig ist, Änderungen des Gesellschaftsvertrages oder</w:t>
      </w:r>
    </w:p>
    <w:p>
      <w:pPr>
        <w:ind w:left="780"/>
      </w:pPr>
      <w:r>
        <w:t xml:space="preserve">b) soweit der Betreiber in der Rechtsform einer Gesellschaft mit beschränkter Haftung tätig ist, Änderungen in den Personen der Gesellschafter oder des Umfangs ihrer Beteiligung,</w:t>
      </w:r>
    </w:p>
    <w:p>
      <w:pPr>
        <w:ind w:left="420"/>
      </w:pPr>
      <w:r>
        <w:t xml:space="preserve">2. tatsächliche Anhaltspunkte dafür, dass ein Dritter die Befehlsfolgen zur Kommandierung des Orbital- oder Transportsystems, zur Steuerung des Sensors oder der Sensoren oder zur Steuerung der Übermittlung der Daten vom Orbital- oder Transportsystem absetzt oder abzusetzen versucht, sowie</w:t>
      </w:r>
    </w:p>
    <w:p>
      <w:pPr>
        <w:ind w:left="420"/>
      </w:pPr>
      <w:r>
        <w:t xml:space="preserve">3. Änderungen der nach § 4 Abs. 1 Nr. 4 getroffenen Maßnahmen</w:t>
      </w:r>
    </w:p>
    <w:p>
      <w:r>
        <w:t xml:space="preserve">unverzüglich schriftlich oder elektronisch anzuzeigen.</w:t>
      </w:r>
    </w:p>
    <w:p>
      <w:r>
        <w:t xml:space="preserve">(2) Der Betreiber eines hochwertigen Erdfernerkundungssystems hat der zuständigen Behörde unverzüglich schriftlich oder elektronisch anzuzeigen, an welche nach § 11 zugelassenen Personen er Daten übermittelt.</w:t>
      </w:r>
    </w:p>
    <w:p>
      <w:r>
        <w:rPr>
          <w:color w:val="555555"/>
          <w:sz w:val="17"/>
        </w:rPr>
        <w:t xml:space="preserve">Zitiervorschlag: § 6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