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SatDSiG — Dokumentationspflicht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eines hochwertigen Erdfernerkundungssystems ist verpflichtet,</w:t>
      </w:r>
    </w:p>
    <w:p>
      <w:pPr>
        <w:ind w:left="420"/>
      </w:pPr>
      <w:r>
        <w:t xml:space="preserve">1. die Befehlsfolgen zur Kommandierung des Orbital- oder Transportsystems,</w:t>
      </w:r>
    </w:p>
    <w:p>
      <w:pPr>
        <w:ind w:left="420"/>
      </w:pPr>
      <w:r>
        <w:t xml:space="preserve">2. die Befehlsfolgen zur Steuerung des Sensors oder der Sensoren,</w:t>
      </w:r>
    </w:p>
    <w:p>
      <w:pPr>
        <w:ind w:left="420"/>
      </w:pPr>
      <w:r>
        <w:t xml:space="preserve">3. Angaben zu Verschlüsselungsverfahren, verwendeten Schlüsseln und Schlüsselmanagement und</w:t>
      </w:r>
    </w:p>
    <w:p>
      <w:pPr>
        <w:ind w:left="420"/>
      </w:pPr>
      <w:r>
        <w:t xml:space="preserve">4. den Zeitpunkt und den Weg der Befehlsfolgen</w:t>
      </w:r>
    </w:p>
    <w:p>
      <w:r>
        <w:t xml:space="preserve">aufzuzeichnen.</w:t>
      </w:r>
    </w:p>
    <w:p>
      <w:r>
        <w:t xml:space="preserve">(2) Die Aufzeichnungen nach Absatz 1 sind mindestens fünf Jahre nach Ausführung der jeweiligen Befehlsfolge aufzubewahren und zur Einsichtnahme durch die zuständige Behörde bereitzuhalten.</w:t>
      </w:r>
    </w:p>
    <w:p>
      <w:r>
        <w:rPr>
          <w:color w:val="555555"/>
          <w:sz w:val="17"/>
        </w:rPr>
        <w:t xml:space="preserve">Zitiervorschlag: § 5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