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SatDSiG — Inkrafttreten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2 Abs. 2, § 17 Abs. 3 und § 26 Satz 2 bis 4 treten am Tag nach der Verkündung in Kraft.</w:t>
      </w:r>
    </w:p>
    <w:p>
      <w:r>
        <w:t xml:space="preserve">(2) Im Übrigen tritt dieses Gesetz am 1. Dezember 2007 in Kraft.</w:t>
      </w:r>
    </w:p>
    <w:p>
      <w:r>
        <w:rPr>
          <w:color w:val="555555"/>
          <w:sz w:val="17"/>
        </w:rPr>
        <w:t xml:space="preserve">Zitiervorschlag: § 35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