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SatDSiG — Straf- und Bußgeldverfahren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für Straftaten nach § 29 das Amtsgericht sachlich zuständig ist, ist örtlich zuständig das Amtsgericht, in dessen Bezirk das Landgericht seinen Sitz hat.</w:t>
      </w:r>
    </w:p>
    <w:p>
      <w:r>
        <w:t xml:space="preserve">(2) Im Strafverfahren gelten § 49 Abs. 2, § 63 Abs. 2 und 3 Satz 1 sowie § 76 Abs. 1 und 4 des Gesetzes über Ordnungswidrigkeiten über die Beteiligung der Verwaltungsbehörden im Verfahren der Staatsanwaltschaft und im gerichtlichen Verfahren entsprechend.</w:t>
      </w:r>
    </w:p>
    <w:p>
      <w:r>
        <w:rPr>
          <w:color w:val="555555"/>
          <w:sz w:val="17"/>
        </w:rPr>
        <w:t xml:space="preserve">Zitiervorschlag: § 31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