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SatDSiG — Genehmigung</w:t>
      </w:r>
    </w:p>
    <w:p>
      <w:r>
        <w:rPr>
          <w:color w:val="555555"/>
          <w:sz w:val="18"/>
        </w:rPr>
        <w:t xml:space="preserve">Satellitendatensicherheitsgesetz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Betrieb eines hochwertigen Erdfernerkundungssystems bedarf der Genehmigung.</w:t>
      </w:r>
    </w:p>
    <w:p>
      <w:r>
        <w:t xml:space="preserve">(2) Nachträgliche Änderungen der Genehmigung sind zulässig, wenn dies erforderlich ist, um die Einhaltung der Genehmigungsvoraussetzungen im Falle nachträglich eingetretener Tatsachen oder einer geänderten Rechtsvorschrift sicherzustellen.</w:t>
      </w:r>
    </w:p>
    <w:p>
      <w:r>
        <w:t xml:space="preserve">(3) Anforderungen anderer Gesetze an den Betrieb eines hochwertigen Erdfernerkundungssystems bleiben unberührt. Die Genehmigung wird unbeschadet privater Rechte Dritter erteilt.</w:t>
      </w:r>
    </w:p>
    <w:p>
      <w:r>
        <w:t xml:space="preserve">(4) Ist ein raumgestütztes Erdfernerkundungssystem nicht hochwertig, so hat die zuständige Behörde dies auf Antrag des Betreibers festzustellen. Entfällt nachträglich das Genehmigungserfordernis durch Änderung der Bestimmungen nach § 2 Abs. 2, so erlischt die Genehmigung.</w:t>
      </w:r>
    </w:p>
    <w:p>
      <w:r>
        <w:rPr>
          <w:color w:val="555555"/>
          <w:sz w:val="17"/>
        </w:rPr>
        <w:t xml:space="preserve">Zitiervorschlag: § 3 SatDSiG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https://recht.nulegal.eu/gesetze/SatDSiG/3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