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SatDSiG — Ordnungswidrigkeiten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Genehmigung nach § 3 Abs. 1 ein hochwertiges Erdfernerkundungssystem betreibt,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ohne Erlaubnis</w:t>
      </w:r>
    </w:p>
    <w:p>
      <w:pPr>
        <w:ind w:left="780"/>
      </w:pPr>
      <w:r>
        <w:t xml:space="preserve">a) nach § 10 Satz 1 den Betrieb eines hochwertigen Erdfernerkundungssystems oder von Teilen eines solchen übernimmt,</w:t>
      </w:r>
    </w:p>
    <w:p>
      <w:pPr>
        <w:ind w:left="780"/>
      </w:pPr>
      <w:r>
        <w:t xml:space="preserve">b) nach § 19 Abs. 1 Satz 1 eine sensitive Anfrage bedient oder</w:t>
      </w:r>
    </w:p>
    <w:p>
      <w:pPr>
        <w:ind w:left="780"/>
      </w:pPr>
      <w:r>
        <w:t xml:space="preserve">c) nach § 19 Abs. 1 Satz 2 Daten ohne Anfrage verbreitet,</w:t>
      </w:r>
    </w:p>
    <w:p>
      <w:pPr>
        <w:ind w:left="420"/>
      </w:pPr>
      <w:r>
        <w:t xml:space="preserve">4. einer vollziehbaren Anordnung nach § 9 Abs. 1, 2 oder § 16 zuwiderhandelt,</w:t>
      </w:r>
    </w:p>
    <w:p>
      <w:pPr>
        <w:ind w:left="420"/>
      </w:pPr>
      <w:r>
        <w:t xml:space="preserve">5. ohne Zulassung nach § 11 Abs. 1 Daten verbreitet,</w:t>
      </w:r>
    </w:p>
    <w:p>
      <w:pPr>
        <w:ind w:left="420"/>
      </w:pPr>
      <w:r>
        <w:t xml:space="preserve">6. entgegen § 17 Abs. 1 in Verbindung mit den Bestimmungen einer Rechtsverordnung nach § 17 Abs. 3 eine Anfrage auf Verbreiten von Daten eines hochwertigen Erdfernerkundungssystems nicht, nicht richtig, nicht vollständig oder nicht in der vorgeschriebenen Weise auf dessen Sensitivität prüft,</w:t>
      </w:r>
    </w:p>
    <w:p>
      <w:pPr>
        <w:ind w:left="420"/>
      </w:pPr>
      <w:r>
        <w:t xml:space="preserve">7. entgegen § 5 Abs. 1 oder § 18 Abs. 1 Satz 1 und 2 eine Aufzeichnung nicht, nicht richtig oder nicht vollständig fertigt oder diese Aufzeichnungen nach § 5 Abs. 2 oder § 18 Abs. 2 nicht oder nicht mindestens fünf Jahre aufbewahrt oder</w:t>
      </w:r>
    </w:p>
    <w:p>
      <w:pPr>
        <w:ind w:left="420"/>
      </w:pPr>
      <w:r>
        <w:t xml:space="preserve">8. entgegen § 18 Abs. 3 Satz 1 keine dort genannten Protokolle und Dokumentationen bereithält.</w:t>
      </w:r>
    </w:p>
    <w:p>
      <w:r>
        <w:t xml:space="preserve">(2) Ordnungswidrig handelt, wer</w:t>
      </w:r>
    </w:p>
    <w:p>
      <w:pPr>
        <w:ind w:left="420"/>
      </w:pPr>
      <w:r>
        <w:t xml:space="preserve">1. entgegen § 6 Abs. 1 oder § 13 eine Anzeige nicht, nicht richtig, nicht vollständig oder nicht rechtzeitig erstattet oder</w:t>
      </w:r>
    </w:p>
    <w:p>
      <w:pPr>
        <w:ind w:left="420"/>
      </w:pPr>
      <w:r>
        <w:t xml:space="preserve">2. entgegen § 7 Abs. 1 oder § 14 Abs. 1 eine Auskunft nicht, nicht richtig, nicht vollständig oder nicht rechtzeitig erteilt.</w:t>
      </w:r>
    </w:p>
    <w:p>
      <w:r>
        <w:t xml:space="preserve">(3) Die Ordnungswidrigkeit kann in den Fällen des Absatzes 1 Nr. 1 bis 5 mit einer Geldbuße bis zu fünfhunderttausend Euro, in den Fällen des Absatzes 1 Nr. 6 bis 8 mit einer Geldbuße bis zu fünfzigtausend Euro und in den Fällen des Absatzes 2 mit einer Geldbuße von bis zu fünfundzwanzigtausend Euro geahndet werden.</w:t>
      </w:r>
    </w:p>
    <w:p>
      <w:r>
        <w:rPr>
          <w:color w:val="555555"/>
          <w:sz w:val="17"/>
        </w:rPr>
        <w:t xml:space="preserve">Zitiervorschlag: § 28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