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SatDSiG — Verfahren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Eine Genehmigung nach § 3 Abs. 1, eine Zulassung nach § 11 Absatz 1 und eine Erlaubnis nach § 10 Satz 1 setzen jeweils einen schriftlichen Antrag voraus. Eine Erlaubnis nach § 19 Absatz 1 Satz 1 und 2 sowie nach § 20 Satz 1 setzt einen schriftlichen oder elektronischen Antrag voraus. Einem Antrag sind die zur Prüfung der Erteilungsvoraussetzungen notwendigen Unterlagen beizufügen.</w:t>
      </w:r>
    </w:p>
    <w:p>
      <w:r>
        <w:t xml:space="preserve">(2) Zur Feststellung der Eignung eines Verfahrens nach § 4 Absatz 1 Nummer 2 und 3 sowie § 12 Absatz 1 Nummer 3 ist das Bundesamt für Sicherheit in der Informationstechnik frühzeitig zu beteiligen. Das Bundesamt für Sicherheit in der Informationstechnik stellt dem Antragsteller Unterlagen zum Umfang und Ablauf der Prüfung zur Verfügung.</w:t>
      </w:r>
    </w:p>
    <w:p>
      <w:r>
        <w:t xml:space="preserve">(3) Verwaltungsakte nach diesem Gesetz sind schriftlich oder elektronisch zu erlassen.</w:t>
      </w:r>
    </w:p>
    <w:p>
      <w:r>
        <w:rPr>
          <w:color w:val="555555"/>
          <w:sz w:val="17"/>
        </w:rPr>
        <w:t xml:space="preserve">Zitiervorschlag: § 25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