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SatDSiG — Maßnahmen der zuständigen Behörde</w:t>
      </w:r>
    </w:p>
    <w:p>
      <w:r>
        <w:rPr>
          <w:color w:val="555555"/>
          <w:sz w:val="18"/>
        </w:rPr>
        <w:t xml:space="preserve">Satellitendatensicherheitsgesetz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zuständige Behörde kann gegenüber dem Datenanbieter im Einzelfall diejenigen Maßnahmen anordnen, die zur ordnungsgemäßen Erfüllung seiner Pflichten erforderlich sind. Sie kann insbesondere</w:t>
      </w:r>
    </w:p>
    <w:p>
      <w:pPr>
        <w:ind w:left="420"/>
      </w:pPr>
      <w:r>
        <w:t xml:space="preserve">1. verlangen, das Verbreiten der Daten dem Stand der Technik anzupassen, oder</w:t>
      </w:r>
    </w:p>
    <w:p>
      <w:pPr>
        <w:ind w:left="420"/>
      </w:pPr>
      <w:r>
        <w:t xml:space="preserve">2. vorübergehend das Verbreiten von Daten untersagen.</w:t>
      </w:r>
    </w:p>
    <w:p>
      <w:r>
        <w:rPr>
          <w:color w:val="555555"/>
          <w:sz w:val="17"/>
        </w:rPr>
        <w:t xml:space="preserve">Zitiervorschlag: § 16 SatDSiG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