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SatDSiG — Anzeigepflicht</w:t>
      </w:r>
    </w:p>
    <w:p>
      <w:r>
        <w:rPr>
          <w:color w:val="555555"/>
          <w:sz w:val="18"/>
        </w:rPr>
        <w:t xml:space="preserve">Satellitendatensicherheitsgesetz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Datenanbieter hat der zuständigen Behörde</w:t>
      </w:r>
    </w:p>
    <w:p>
      <w:pPr>
        <w:ind w:left="420"/>
      </w:pPr>
      <w:r>
        <w:t xml:space="preserve">1. Änderungen von Tatsachen, die er zur Eintragung in das Handels- oder Vereinsregister anzumelden hat, und</w:t>
      </w:r>
    </w:p>
    <w:p>
      <w:pPr>
        <w:ind w:left="780"/>
      </w:pPr>
      <w:r>
        <w:t xml:space="preserve">a) soweit der Datenanbieter in der Rechtsform einer Personenhandelsgesellschaft tätig ist, Änderungen des Gesellschaftsvertrages oder</w:t>
      </w:r>
    </w:p>
    <w:p>
      <w:pPr>
        <w:ind w:left="780"/>
      </w:pPr>
      <w:r>
        <w:t xml:space="preserve">b) soweit der Datenanbieter in der Rechtsform einer Gesellschaft mit beschränkter Haftung tätig ist, Änderungen in den Personen der Gesellschafter oder des Umfangs ihrer Beteiligung,</w:t>
      </w:r>
    </w:p>
    <w:p>
      <w:pPr>
        <w:ind w:left="420"/>
      </w:pPr>
      <w:r>
        <w:t xml:space="preserve">2. Änderungen der nach § 12 Abs. 1 Nr. 2 getroffenen Maßnahmen sowie</w:t>
      </w:r>
    </w:p>
    <w:p>
      <w:pPr>
        <w:ind w:left="420"/>
      </w:pPr>
      <w:r>
        <w:t xml:space="preserve">3. tatsächliche Anhaltspunkte dafür, dass die Sicherung der Daten, die mit einem hochwertigen Erdfernerkundungssystem erzeugt worden sind, nicht aufrechterhalten wird,</w:t>
      </w:r>
    </w:p>
    <w:p>
      <w:r>
        <w:t xml:space="preserve">unverzüglich schriftlich oder elektronisch anzuzeigen.</w:t>
      </w:r>
    </w:p>
    <w:p>
      <w:r>
        <w:rPr>
          <w:color w:val="555555"/>
          <w:sz w:val="17"/>
        </w:rPr>
        <w:t xml:space="preserve">Zitiervorschlag: § 13 SatDSiG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