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SatDSiG — Zulassung</w:t>
      </w:r>
    </w:p>
    <w:p>
      <w:r>
        <w:rPr>
          <w:color w:val="555555"/>
          <w:sz w:val="18"/>
        </w:rPr>
        <w:t xml:space="preserve">Satellitendatensicherheitsgesetz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Datenanbieter, der Daten verbreiten will, bedarf der Zulassung.</w:t>
      </w:r>
    </w:p>
    <w:p>
      <w:r>
        <w:t xml:space="preserve">(2) Nachträgliche Änderungen der Zulassung sind zulässig, wenn dies erforderlich ist, um die Einhaltung der Zulassungsvoraussetzungen im Falle nachträglich eingetretener Tatsachen oder einer geänderten Rechtsvorschrift sicherzustellen.</w:t>
      </w:r>
    </w:p>
    <w:p>
      <w:r>
        <w:rPr>
          <w:color w:val="555555"/>
          <w:sz w:val="17"/>
        </w:rPr>
        <w:t xml:space="preserve">Zitiervorschlag: § 11 SatDSiG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https://recht.nulegal.eu/gesetze/SatDSiG/11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