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SanktDG — Einziehung</w:t>
      </w:r>
    </w:p>
    <w:p>
      <w:r>
        <w:rPr>
          <w:color w:val="555555"/>
          <w:sz w:val="18"/>
        </w:rPr>
        <w:t xml:space="preserve">Sanktionsdurchsetzungsgesetz</w:t>
      </w:r>
    </w:p>
    <w:p>
      <w:r>
        <w:rPr>
          <w:color w:val="555555"/>
          <w:sz w:val="18"/>
        </w:rPr>
        <w:t xml:space="preserve">Stand: 28.12.2022 (konsolidierte Textfassung, kein amtliches Inkrafttretensdatum)</w:t>
      </w:r>
    </w:p>
    <w:p>
      <w:r>
        <w:t xml:space="preserve">Ist eine Straftat nach § 16 oder eine Ordnungswidrigkeit nach § 17 begangen worden, so können</w:t>
      </w:r>
    </w:p>
    <w:p>
      <w:pPr>
        <w:ind w:left="420"/>
      </w:pPr>
      <w:r>
        <w:t xml:space="preserve">1. Gegenstände, auf die sich die Straftat oder die Ordnungswidrigkeit bezieht, oder</w:t>
      </w:r>
    </w:p>
    <w:p>
      <w:pPr>
        <w:ind w:left="420"/>
      </w:pPr>
      <w:r>
        <w:t xml:space="preserve">2. Gegenstände, die zu ihrer Begehung oder Vorbereitung gebraucht worden oder bestimmt gewesen sind,</w:t>
      </w:r>
    </w:p>
    <w:p>
      <w:r>
        <w:t xml:space="preserve">eingezogen werden. § 74a des Strafgesetzbuches und § 23 des Gesetzes über Ordnungswidrigkeiten sind anzuwenden.</w:t>
      </w:r>
    </w:p>
    <w:p>
      <w:r>
        <w:rPr>
          <w:color w:val="555555"/>
          <w:sz w:val="17"/>
        </w:rPr>
        <w:t xml:space="preserve">Zitiervorschlag: § 18 SanktDG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https://recht.nulegal.eu/gesetze/SanktDG/18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