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SanktDG — Bußgeldvorschriften</w:t>
      </w:r>
    </w:p>
    <w:p>
      <w:r>
        <w:rPr>
          <w:color w:val="555555"/>
          <w:sz w:val="18"/>
        </w:rPr>
        <w:t xml:space="preserve">Sanktionsdurchsetzungsgesetz</w:t>
      </w:r>
    </w:p>
    <w:p>
      <w:r>
        <w:rPr>
          <w:color w:val="555555"/>
          <w:sz w:val="18"/>
        </w:rPr>
        <w:t xml:space="preserve">Stand: 28.12.2022 (konsolidierte Textfassung, kein amtliches Inkrafttretensdatum)</w:t>
      </w:r>
    </w:p>
    <w:p>
      <w:r>
        <w:t xml:space="preserve">(1) Ordnungswidrig handelt, wer vorsätzlich oder fahrlässig einer vollziehbaren Anordnung nach § 2 Absatz 2 Nummer 1 zuwiderhandelt.</w:t>
      </w:r>
    </w:p>
    <w:p>
      <w:r>
        <w:t xml:space="preserve">(2) Die Ordnungswidrigkeit kann mit einer Geldbuße bis zu dreißigtausend Euro geahndet werden.</w:t>
      </w:r>
    </w:p>
    <w:p>
      <w:r>
        <w:t xml:space="preserve">(3) Verwaltungsbehörde im Sinne des § 36 Absatz 1 Nummer 1 des Gesetzes über Ordnungswidrigkeiten ist die Zentralstelle für Sanktionsdurchsetzung.</w:t>
      </w:r>
    </w:p>
    <w:p>
      <w:r>
        <w:rPr>
          <w:color w:val="555555"/>
          <w:sz w:val="17"/>
        </w:rPr>
        <w:t xml:space="preserve">Zitiervorschlag: § 17 SanktDG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https://recht.nulegal.eu/gesetze/SanktDG/17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