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SanktDG — Strafvorschriften</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Mit Freiheitsstrafe bis zu einem Jahr oder mit Geldstrafe wird bestraft, wer entgegen § 10 Absatz 1 Satz 1 Nummer 1 eine Meldung nicht, nicht richtig, nicht vollständig oder nicht rechtzeitig macht.</w:t>
      </w:r>
    </w:p>
    <w:p>
      <w:r>
        <w:t xml:space="preserve">(2) Absatz 1 gilt unabhängig vom Recht des Tatorts auch für Taten, die im Ausland begangen werden, wenn der Täter Deutscher ist.</w:t>
      </w:r>
    </w:p>
    <w:p>
      <w:r>
        <w:t xml:space="preserve">(3) Nach Absatz 1 wird nicht bestraft, wer eine dort genannte Meldung freiwillig und vollständig nachholt, wenn nicht die Tat zu diesem Zeitpunkt bereits ganz oder zum Teil entdeckt war und der Täter dies wusste oder bei verständiger Würdigung der Sachlage damit rechnen musste.</w:t>
      </w:r>
    </w:p>
    <w:p>
      <w:r>
        <w:rPr>
          <w:color w:val="555555"/>
          <w:sz w:val="17"/>
        </w:rPr>
        <w:t xml:space="preserve">Zitiervorschlag: § 16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