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SanktDG — Aufschiebende Wirkung</w:t>
      </w:r>
    </w:p>
    <w:p>
      <w:r>
        <w:rPr>
          <w:color w:val="555555"/>
          <w:sz w:val="18"/>
        </w:rPr>
        <w:t xml:space="preserve">Sanktionsdurchsetzungsgesetz</w:t>
      </w:r>
    </w:p>
    <w:p>
      <w:r>
        <w:rPr>
          <w:color w:val="555555"/>
          <w:sz w:val="18"/>
        </w:rPr>
        <w:t xml:space="preserve">Stand: 28.12.2022 (konsolidierte Textfassung, kein amtliches Inkrafttretensdatum)</w:t>
      </w:r>
    </w:p>
    <w:p>
      <w:r>
        <w:t xml:space="preserve">Widerspruch und Anfechtungsklage gegen Verwaltungsakte nach diesem Gesetz haben keine aufschiebende Wirkung.</w:t>
      </w:r>
    </w:p>
    <w:p>
      <w:r>
        <w:rPr>
          <w:color w:val="555555"/>
          <w:sz w:val="17"/>
        </w:rPr>
        <w:t xml:space="preserve">Zitiervorschlag: § 13 SanktDG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https://recht.nulegal.eu/gesetze/SanktDG/13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