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SanktDG — Vermögensermittlung zu bestimmten Geldern und wirtschaftlichen Ressourcen (vermögensbezogene Ermittlung)</w:t>
      </w:r>
    </w:p>
    <w:p>
      <w:r>
        <w:rPr>
          <w:color w:val="555555"/>
          <w:sz w:val="18"/>
        </w:rPr>
        <w:t xml:space="preserve">Sanktionsdurchsetzungsgesetz</w:t>
      </w:r>
    </w:p>
    <w:p>
      <w:r>
        <w:rPr>
          <w:color w:val="555555"/>
          <w:sz w:val="18"/>
        </w:rPr>
        <w:t xml:space="preserve">Stand: 28.12.2022 (konsolidierte Textfassung, kein amtliches Inkrafttretensdatum)</w:t>
      </w:r>
    </w:p>
    <w:p>
      <w:r>
        <w:t xml:space="preserve">(1) Die Zentralstelle für Sanktionsdurchsetzung kann bei im Geltungsbereich dieses Gesetzes befindlichen Geldern und wirtschaftlichen Ressourcen ein Verfahren zur Ermittlung des Eigentümers und des wirtschaftlich Berechtigten einleiten, wenn</w:t>
      </w:r>
    </w:p>
    <w:p>
      <w:pPr>
        <w:ind w:left="420"/>
      </w:pPr>
      <w:r>
        <w:t xml:space="preserve">1. tatsächliche Anhaltspunkte dafür vorliegen, dass die Gelder oder wirtschaftlichen Ressourcen in einer Art und Weise mit Personen oder Personengesellschaften in Verbindung stehen, denen nach einem im Amtsblatt der Europäischen Gemeinschaften oder der Europäischen Union veröffentlichten unmittelbar geltenden Rechtsakt der Europäischen Gemeinschaften oder der Europäischen Union, der der Durchführung einer vom Rat der Europäischen Union im Bereich der Gemeinsamen Außen- und Sicherheitspolitik beschlossenen wirtschaftlichen Sanktionsmaßnahme dient, weder unmittelbar noch mittelbar Gelder oder wirtschaftliche Ressourcen zur Verfügung gestellt werden oder zu Gute kommen dürfen oder</w:t>
      </w:r>
    </w:p>
    <w:p>
      <w:pPr>
        <w:ind w:left="420"/>
      </w:pPr>
      <w:r>
        <w:t xml:space="preserve">2. in einem Verfahren nach § 11 der Eigentümer oder wirtschaftlich Berechtigte bestimmter Gelder oder wirtschaftlicher Ressourcen unbekannt geblieben ist oder Zweifel an dessen Eigentum oder wirtschaftlicher Berechtigung bestehen.</w:t>
      </w:r>
    </w:p>
    <w:p>
      <w:r>
        <w:t xml:space="preserve">Satz 1 gilt entsprechend, wenn eine vorläufige Beschränkung nach § 5a des Außenwirtschaftsgesetzes oder ein Verfügungs- oder Bereitstellungsverbot aufgrund einer vollziehbaren Anordnung nach § 6 Absatz 1 Satz 2 des Außenwirtschaftsgesetzes besteht.</w:t>
      </w:r>
    </w:p>
    <w:p>
      <w:r>
        <w:t xml:space="preserve">(2) Zur Durchführung von Ermittlungen nach Absatz 1 stehen der Zentralstelle für Sanktionsdurchsetzung die Befugnisse nach Abschnitt 2 zu.</w:t>
      </w:r>
    </w:p>
    <w:p>
      <w:r>
        <w:t xml:space="preserve">(3) Haben die Ermittlungen nach den Absätzen 1 und 2 ergeben, dass die Gelder oder wirtschaftlichen Ressourcen in einer Art und Weise in Verbindung mit einer Person oder Personengesellschaft im Sinne von Absatz 1 Nummer 1 stehen, dass sie einer Verfügungsbeschränkung unterliegen, sind diese Informationen in das Register nach § 14 aufzunehmen.</w:t>
      </w:r>
    </w:p>
    <w:p>
      <w:r>
        <w:t xml:space="preserve">(4) Haben die Ermittlungen nach den Absätzen 1 und 2 ergeben, dass die Gelder und wirtschaftlichen Ressourcen keiner Verfügungsbeschränkung im Sinne von Absatz 1 Satz 1 Nummer 1 unterliegen, ist das Verfahren zu beenden.</w:t>
      </w:r>
    </w:p>
    <w:p>
      <w:r>
        <w:t xml:space="preserve">(5) Kann in den Fällen des Absatzes 1 Satz 1 Nummer 2 auch nach Durchführung der Ermittlungen nach den Absätzen 1 und 2 der Eigentümer oder wirtschaftlich Berechtigte nicht ermittelt werden oder bestehen durch Tatsachen begründete Zweifel an dessen Eigentum oder wirtschaftlicher Berechtigung, sind diese Informationen zu den betroffenen Geldern oder wirtschaftlichen Ressourcen in das Register nach § 14 aufzunehmen.</w:t>
      </w:r>
    </w:p>
    <w:p>
      <w:r>
        <w:t xml:space="preserve">(6) Kann in den Fällen des Absatzes 1 Satz 1 Nummer 2 bei Vereinigungen nach § 20 des Geldwäschegesetzes oder bei Rechtsgestaltungen nach § 21 des Geldwäschegesetzes der wirtschaftlich Berechtigte im Sinne von § 3 des Geldwäschegesetzes ermittelt werden und weicht dieser von den Angaben nach § 19 des Geldwäschegesetzes ab, hat die Zentralstelle für Sanktionsdurchsetzung eine Unstimmigkeitsmeldung nach § 23a Absatz 1 Satz 3 des Geldwäschegesetzes abzugeben.</w:t>
      </w:r>
    </w:p>
    <w:p>
      <w:r>
        <w:t xml:space="preserve">(7) Haben die Ermittlungen nach den Absätzen 1 und 2 Hinweise auf das Vorliegen einer Straftat ergeben, übermittelt die Zentralstelle für Sanktionsdurchsetzung alle sachdienlichen Informationen unverzüglich an die zuständige Strafverfolgungsbehörde.</w:t>
      </w:r>
    </w:p>
    <w:p>
      <w:r>
        <w:rPr>
          <w:color w:val="555555"/>
          <w:sz w:val="17"/>
        </w:rPr>
        <w:t xml:space="preserve">Zitiervorschlag: § 12 SanktDG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https://recht.nulegal.eu/gesetze/SanktDG/12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