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SanktDG — Aufgaben, Aufsicht und Zusammenarbeit</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hat als zuständige Behörde unbeschadet der in § 13 des Außenwirtschaftsgesetzes geregelten Zuständigkeiten die Aufgabe, die Durchsetzung der vom Rat der Europäischen Union im Bereich der Gemeinsamen Außen- und Sicherheitspolitik beschlossenen wirtschaftlichen Sanktionsmaßnahmen im Inland zu gewährleisten und mit ausländischen Behörden bei der Durchsetzung dieser Sanktionsmaßnahmen zusammenzuarbeiten. Ihr obliegen in diesem Zusammenhang insbesondere</w:t>
      </w:r>
    </w:p>
    <w:p>
      <w:pPr>
        <w:ind w:left="420"/>
      </w:pPr>
      <w:r>
        <w:t xml:space="preserve">1. die gefahrenabwehrrechtliche Ermittlung und Sicherstellung von im Geltungsbereich dieses Gesetzes befindlichen Geldern und wirtschaftlichen Ressourcen bestimmter Personen oder Personengesellschaften, die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eingefroren sind,</w:t>
      </w:r>
    </w:p>
    <w:p>
      <w:pPr>
        <w:ind w:left="420"/>
      </w:pPr>
      <w:r>
        <w:t xml:space="preserve">2. die gefahrenabwehrrechtliche Ermittlung und Sicherstellung von im Geltungsbereich dieses Gesetzes befindlichen Geldern und wirtschaftlichen Ressourcen, die</w:t>
      </w:r>
    </w:p>
    <w:p>
      <w:pPr>
        <w:ind w:left="780"/>
      </w:pPr>
      <w:r>
        <w:t xml:space="preserve">a) von bestimmten Personen oder Personengesellschaften kontrolliert werden,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w:t>
      </w:r>
    </w:p>
    <w:p>
      <w:pPr>
        <w:ind w:left="780"/>
      </w:pPr>
      <w:r>
        <w:t xml:space="preserve">b) bestimmten Personen oder Personengesellschaften zur Verfügung gestellt werden oder zu Gute kommen sollen,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w:t>
      </w:r>
    </w:p>
    <w:p>
      <w:pPr>
        <w:ind w:left="420"/>
      </w:pPr>
      <w:r>
        <w:t xml:space="preserve">3. die Überwachung der Einhaltung der Verfügungsbeschränkungen und Bereitstellungsverbote im Sinne der Nummern 1 und 2, soweit nicht nach dem Außenwirtschaftsgesetz die Deutsche Bundesbank oder das Bundesamt für Wirtschaft und Ausfuhrkontrolle (BAFA) zuständig ist,</w:t>
      </w:r>
    </w:p>
    <w:p>
      <w:pPr>
        <w:ind w:left="420"/>
      </w:pPr>
      <w:r>
        <w:t xml:space="preserve">4. die Führung des Registers nach § 14,</w:t>
      </w:r>
    </w:p>
    <w:p>
      <w:pPr>
        <w:ind w:left="420"/>
      </w:pPr>
      <w:r>
        <w:t xml:space="preserve">5. die Koordinierung der Sanktionsdurchsetzung mit den beteiligten Behörden im Inland sowie die Errichtung und der Betrieb einer Clearingstelle zur Koordinierung von Einzelfällen,</w:t>
      </w:r>
    </w:p>
    <w:p>
      <w:pPr>
        <w:ind w:left="420"/>
      </w:pPr>
      <w:r>
        <w:t xml:space="preserve">6. die Errichtung und der Betrieb der Hinweisannahmestelle nach § 15,</w:t>
      </w:r>
    </w:p>
    <w:p>
      <w:pPr>
        <w:ind w:left="420"/>
      </w:pPr>
      <w:r>
        <w:t xml:space="preserve">7. die statistische Informationsaufbereitung einschließlich der Erstellung einer jährlichen Statistik sowie</w:t>
      </w:r>
    </w:p>
    <w:p>
      <w:pPr>
        <w:ind w:left="420"/>
      </w:pPr>
      <w:r>
        <w:t xml:space="preserve">8. die europäische und internationale Zusammenarbeit mit öffentlichen Stellen im Rahmen der Aufgaben nach diesem Gesetz einschließlich des Daten- und Informationsaustauschs.</w:t>
      </w:r>
    </w:p>
    <w:p>
      <w:r>
        <w:t xml:space="preserve">(2) Die Zentralstelle für Sanktionsdurchsetzung untersteht der Rechts- und Fachaufsicht des Bundesministeriums der Finanzen.</w:t>
      </w:r>
    </w:p>
    <w:p>
      <w:r>
        <w:t xml:space="preserve">(3) Die Zentralstelle für Sanktionsdurchsetzung, die nach § 13 des Außenwirtschaftsgesetzes zuständigen Behörden sowie andere öffentlichen Stellen arbeiten zur Durchführung dieses Gesetzes zusammen und unterstützen sich gegenseitig. Sie informieren sich, soweit erforderlich, gegenseitig über Sachverhalte, die ihnen bei der Erfüllung ihrer Aufgaben bekannt werden und die der Durchsetzung von wirtschaftlichen Sanktionsmaßnahmen im Sinne von Absatz 1 Satz 1 dienen. Regelungen zur statistischen Geheimhaltung bleiben unberührt.</w:t>
      </w:r>
    </w:p>
    <w:p>
      <w:r>
        <w:t xml:space="preserve">(4) Die Zuständigkeiten des Hauptzollamtes, der Deutschen Bundesbank, des Bundesamtes für Wirtschaft und Ausfuhrkontrolle (BAFA) und der Bundesanstalt für Landwirtschaft und Ernährung für die Wahrnehmung der Befugnisse nach § 23 des Außenwirtschaftsgesetzes bleiben unberührt.</w:t>
      </w:r>
    </w:p>
    <w:p>
      <w:r>
        <w:rPr>
          <w:color w:val="555555"/>
          <w:sz w:val="17"/>
        </w:rPr>
        <w:t xml:space="preserve">Zitiervorschlag: § 1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