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SanOffzVergV — Ausschluss des Vergütungsanspruchs</w:t>
      </w:r>
    </w:p>
    <w:p>
      <w:r>
        <w:rPr>
          <w:color w:val="555555"/>
          <w:sz w:val="18"/>
        </w:rPr>
        <w:t xml:space="preserve">Sanitätsdienstvergütungsverordnung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Eine Vergütung wird nicht gewährt</w:t>
      </w:r>
    </w:p>
    <w:p>
      <w:pPr>
        <w:ind w:left="420"/>
      </w:pPr>
      <w:r>
        <w:t xml:space="preserve">1. für nach § 2 berücksichtigte Zeiten eines Bereitschaftsdienstes und Zeiten einer tatsächlichen Inanspruchnahme während angeordneter Rufbereitschaft, wenn die entsprechend § 4 gerundete Summe dieser Zeiten 5 Stunden im Kalendermonat nicht übersteigt; bei Teilzeitbeschäftigung werden die 5 Stunden im gleichen Verhältnis wie die Arbeitszeit gekürzt,</w:t>
      </w:r>
    </w:p>
    <w:p>
      <w:pPr>
        <w:ind w:left="420"/>
      </w:pPr>
      <w:r>
        <w:t xml:space="preserve">2. mit Feststellung des Spannungs- oder Verteidigungsfalles oder nach einem Beschluss nach Artikel 80a Absatz 3 Satz 1 des Grundgesetzes oder</w:t>
      </w:r>
    </w:p>
    <w:p>
      <w:pPr>
        <w:ind w:left="420"/>
      </w:pPr>
      <w:r>
        <w:t xml:space="preserve">3. für Dienste zur Erhöhung der Bereitschaft der Streitkräfte, die das Bundesministerium der Verteidigung anordnet, um die notwendige Reaktionsfähigkeit der Streitkräfte zur Wahrnehmung ihrer Aufgaben herzustellen.</w:t>
      </w:r>
    </w:p>
    <w:p>
      <w:r>
        <w:rPr>
          <w:color w:val="555555"/>
          <w:sz w:val="17"/>
        </w:rPr>
        <w:t xml:space="preserve">Zitiervorschlag: § 7 SanOffzVergV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https://recht.nulegal.eu/gesetze/SanOffzVergV/7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