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SanOffzVergV — Rufbereitschaft</w:t>
      </w:r>
    </w:p>
    <w:p>
      <w:r>
        <w:rPr>
          <w:color w:val="555555"/>
          <w:sz w:val="18"/>
        </w:rPr>
        <w:t xml:space="preserve">Sanitätsdienstvergütungsverordnung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Zeiten einer Rufbereitschaft ohne tatsächliche Inanspruchnahme, die 10 Stunden im Kalendermonat übersteigen, werden zu einem Achtel berücksichtigt. Bei Teilzeitbeschäftigung werden die 10 Stunden im gleichen Verhältnis wie die Arbeitszeit gekürzt.</w:t>
      </w:r>
    </w:p>
    <w:p>
      <w:r>
        <w:t xml:space="preserve">(2) Zeiten einer tatsächlichen Inanspruchnahme während einer Rufbereitschaft werden vollständig berücksichtigt. § 2 Absatz 2 Satz 4 gilt entsprechend.</w:t>
      </w:r>
    </w:p>
    <w:p>
      <w:r>
        <w:rPr>
          <w:color w:val="555555"/>
          <w:sz w:val="17"/>
        </w:rPr>
        <w:t xml:space="preserve">Zitiervorschlag: § 3 SanOffzVergV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https://recht.nulegal.eu/gesetze/SanOffzVergV/3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