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SanOAAusbGV 2013 — Entsprechende Geltung von Vorschriften des Bundesbesoldungsgesetzes</w:t>
      </w:r>
    </w:p>
    <w:p>
      <w:r>
        <w:rPr>
          <w:color w:val="555555"/>
          <w:sz w:val="18"/>
        </w:rPr>
        <w:t xml:space="preserve">Sanitätsoffizieranwärter-Ausbildungsgeldverordnung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3 Absatz 1 Satz 2 und 3, Absatz 3 bis 6, sowie die §§ 3a, 9, 9a, 10, 11, 12, 17a, 17b und 39 bis 41 des Bundesbesoldungsgesetzes gelten entsprechend.</w:t>
      </w:r>
    </w:p>
    <w:p>
      <w:r>
        <w:rPr>
          <w:color w:val="555555"/>
          <w:sz w:val="17"/>
        </w:rPr>
        <w:t xml:space="preserve">Zitiervorschlag: § 4 SanOAAusbGV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https://recht.nulegal.eu/gesetze/SanOAAusbGV%202013/4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