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SanOAAusbGV 2013 — Höhe des Ausbildungsgeldes</w:t>
      </w:r>
    </w:p>
    <w:p>
      <w:r>
        <w:rPr>
          <w:color w:val="555555"/>
          <w:sz w:val="18"/>
        </w:rPr>
        <w:t xml:space="preserve">Sanitätsoffizieranwärter-Ausbildungsgeldverordnung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Grundbetrag des Ausbildungsgeldes entspricht dem Grundgehalt und den Amtszulagen, die im Bundesbesoldungsgesetz für den jeweiligen Dienstgrad festgelegt sind.</w:t>
      </w:r>
    </w:p>
    <w:p>
      <w:r>
        <w:t xml:space="preserve">(2) Werden Abschnitte des Studiums in Teilzeit absolviert, wird das Ausbildungsgeld im gleichen Verhältnis wie die wöchentliche Ausbildungszeit gekürzt.</w:t>
      </w:r>
    </w:p>
    <w:p>
      <w:r>
        <w:rPr>
          <w:color w:val="555555"/>
          <w:sz w:val="17"/>
        </w:rPr>
        <w:t xml:space="preserve">Zitiervorschlag: § 2 SanOAAusbGV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https://recht.nulegal.eu/gesetze/SanOAAusbGV%202013/2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SanOAAusbGV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