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SamEnV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Das Bundesministerium für Ernährung, Landwirtschaft und Verbraucherschutz verordnet</w:t>
      </w:r>
    </w:p>
    <w:p>
      <w:pPr>
        <w:ind w:left="420"/>
      </w:pPr>
      <w:r>
        <w:t xml:space="preserve">– auf Grund des § 8 Abs. 1 Nr. 1 Buchstabe c und d sowie Nr. 2 Buchstabe b und c, § 18 Abs. 1 Nr. 2, 3, 4, 8 und 9 des Tierzuchtgesetzes vom 21. Dezember 2006 (BGBl. I S. 3294) sowie</w:t>
      </w:r>
    </w:p>
    <w:p>
      <w:pPr>
        <w:ind w:left="420"/>
      </w:pPr>
      <w:r>
        <w:t xml:space="preserve">– auf Grund des § 79a Abs. 2 Nr. 1 in Verbindung mit § 17 Abs. 1 Nr. 1, 7 und 13 des Tierseuchengesetzes in der Fassung der Bekanntmachung vom 22. Juni 2004 (BGBl. I S. 1260, 3588):</w:t>
      </w:r>
    </w:p>
    <w:p>
      <w:r>
        <w:rPr>
          <w:color w:val="555555"/>
          <w:sz w:val="17"/>
        </w:rPr>
        <w:t xml:space="preserve">Zitiervorschlag: Eingangsformel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