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SamEnV — (zu § 3 Nr. 5, 6, 8 und 13 Buchstabe a, § 4 Abs. 1 und 2)Vorgeschriebene Untersuchungen an männlichen Tieren, die zur Gewinnung von Samen für die künstliche Besamung vorgesehen sind</w:t>
      </w:r>
    </w:p>
    <w:p>
      <w:r>
        <w:rPr>
          <w:color w:val="555555"/>
          <w:sz w:val="18"/>
        </w:rPr>
        <w:t xml:space="preserve">Samenverordnung</w:t>
      </w:r>
    </w:p>
    <w:p>
      <w:r>
        <w:rPr>
          <w:color w:val="555555"/>
          <w:sz w:val="18"/>
        </w:rPr>
        <w:t xml:space="preserve">Historische Fassung: Stand 10.06.2019 bis 22.07.2021. Dies ist nicht die aktuelle Fassung.</w:t>
      </w:r>
    </w:p>
    <w:p>
      <w:r>
        <w:t xml:space="preserve">(Fundstelle: BGBl. I 2008, 2063)</w:t>
      </w:r>
    </w:p>
    <w:p>
      <w:r>
        <w:rPr>
          <w:rFonts w:ascii="Courier New" w:hAnsi="Courier New"/>
          <w:sz w:val="17"/>
        </w:rPr>
        <w:t xml:space="preserve">Tiere    Zu untersuchende Krankheiten    Zu untersuchende Proben    Folgemaßnahmen</w:t>
      </w:r>
    </w:p>
    <w:p>
      <w:r>
        <w:rPr>
          <w:rFonts w:ascii="Courier New" w:hAnsi="Courier New"/>
          <w:sz w:val="17"/>
        </w:rPr>
        <w:t xml:space="preserve">1    2    3    4</w:t>
      </w:r>
    </w:p>
    <w:p>
      <w:r>
        <w:rPr>
          <w:rFonts w:ascii="Courier New" w:hAnsi="Courier New"/>
          <w:sz w:val="17"/>
        </w:rPr>
        <w:t xml:space="preserve">Rinder    Bovine Virusdiarrhoe    eine Blutprobe (Virusnachweis)    jährliche Untersuchung</w:t>
      </w:r>
    </w:p>
    <w:p>
      <w:r>
        <w:rPr>
          <w:rFonts w:ascii="Courier New" w:hAnsi="Courier New"/>
          <w:sz w:val="17"/>
        </w:rPr>
        <w:t xml:space="preserve">Rinder    Bovines Herpesvirus Typ 1    zwei Blutproben im Abstand von drei Wochen (Antikörpernachweis)    jährliche Untersuchung</w:t>
      </w:r>
    </w:p>
    <w:p>
      <w:r>
        <w:rPr>
          <w:rFonts w:ascii="Courier New" w:hAnsi="Courier New"/>
          <w:sz w:val="17"/>
        </w:rPr>
        <w:t xml:space="preserve">Rinder    Trichomonadenseuche der Rinder (Tritrichomonas fetus) und Vibrionenseuche der Rinder (Campylobacter fetus subspecies veneralis)    eine Präputialspülprobe oder eine Spülprobe, die unmittelbar nach der Samenentnahme von der Innenwand der künstlichen Scheide entnommen wird    jährliche Untersuchung</w:t>
      </w:r>
    </w:p>
    <w:p>
      <w:r>
        <w:rPr>
          <w:rFonts w:ascii="Courier New" w:hAnsi="Courier New"/>
          <w:sz w:val="17"/>
        </w:rPr>
        <w:t xml:space="preserve">Schweine    Brucellose der Schweine    eine Blutprobe zur Untersuchung nach fachlichen Vorgaben der Brucellose-Verordnung (Antikörpernachweis)    jährliche Untersuchung</w:t>
      </w:r>
    </w:p>
    <w:p>
      <w:r>
        <w:rPr>
          <w:rFonts w:ascii="Courier New" w:hAnsi="Courier New"/>
          <w:sz w:val="17"/>
        </w:rPr>
        <w:t xml:space="preserve">Schweine    Schweinepest    eine Blutprobe zur Untersuchung nach fachlichen Vorgaben der Schweinepest-Verordnung (Antikörpernachweis)    jährliche Untersuchung</w:t>
      </w:r>
    </w:p>
    <w:p>
      <w:r>
        <w:rPr>
          <w:rFonts w:ascii="Courier New" w:hAnsi="Courier New"/>
          <w:sz w:val="17"/>
        </w:rPr>
        <w:t xml:space="preserve">Schweine    Aujeszkysche Krankheit    eine Blutprobe zur Untersuchung auf das gl-Glykoprotein des Virus (Antikörpernachweis)    jährliche Untersuchung</w:t>
      </w:r>
    </w:p>
    <w:p>
      <w:r>
        <w:rPr>
          <w:rFonts w:ascii="Courier New" w:hAnsi="Courier New"/>
          <w:sz w:val="17"/>
        </w:rPr>
        <w:t xml:space="preserve">Schafe und Ziegen    Brucellose (Brucella melitensis)    eine Blutprobe (Antikörpernachweis)    jährliche Untersuchung</w:t>
      </w:r>
    </w:p>
    <w:p>
      <w:r>
        <w:rPr>
          <w:rFonts w:ascii="Courier New" w:hAnsi="Courier New"/>
          <w:sz w:val="17"/>
        </w:rPr>
        <w:t xml:space="preserve">Schafe und Ziegen    Epididymitis des Schafbocks (Brucella ovis)    eine Blutprobe (Antikörpernachweis)    jährliche Untersuchung</w:t>
      </w:r>
    </w:p>
    <w:p>
      <w:r>
        <w:rPr>
          <w:rFonts w:ascii="Courier New" w:hAnsi="Courier New"/>
          <w:sz w:val="17"/>
        </w:rPr>
        <w:t xml:space="preserve">Schafe und Ziegen    Border-Krankheit (Enzootische Zitterkrankheit)    Isolierungstest für den Virus – Blutprobe    jährliche Untersuchung</w:t>
      </w:r>
    </w:p>
    <w:p>
      <w:r>
        <w:rPr>
          <w:rFonts w:ascii="Courier New" w:hAnsi="Courier New"/>
          <w:sz w:val="17"/>
        </w:rPr>
        <w:t xml:space="preserve">Equiden    Ansteckende Blutarmut der Einhufer (Infektiöse Anämie)    eine Blutprobe Methode: Coggins-Test    Wiederholung der Untersuchung jeweils nach 120 Tagen</w:t>
      </w:r>
    </w:p>
    <w:p>
      <w:r>
        <w:rPr>
          <w:rFonts w:ascii="Courier New" w:hAnsi="Courier New"/>
          <w:sz w:val="17"/>
        </w:rPr>
        <w:t xml:space="preserve">Equiden    Kontagiöse Equine Metritis    eine Samen- oder Vorsekret- und Harnröhrenprobe und eine Eichelgrubentupferprobe (kultureller Nachweis oder PCR)    Wiederholung der Untersuchung jeweils nach 120 Tagen</w:t>
      </w:r>
    </w:p>
    <w:p>
      <w:r>
        <w:rPr>
          <w:rFonts w:ascii="Courier New" w:hAnsi="Courier New"/>
          <w:sz w:val="17"/>
        </w:rPr>
        <w:t xml:space="preserve">Equiden    Equine Virusarteritis    bei serologisch negativem Equine-Arteritis-Virus (EAV)-Titer (&lt; 1 : 4) eine Blutprobe Methode: Antikörpernachweis – Virusneutralisationstest    Wiederholung der Untersuchung jeweils nach 30 Tagen</w:t>
      </w:r>
    </w:p>
    <w:p>
      <w:r>
        <w:rPr>
          <w:rFonts w:ascii="Courier New" w:hAnsi="Courier New"/>
          <w:sz w:val="17"/>
        </w:rPr>
        <w:t xml:space="preserve">bei serologisch positivem EAV- Titer (≥ 1 : 4) Samen Methode: Virusnachweis Zellkultur    Wiederholung der Untersuchung nach 120 Tagen</w:t>
      </w:r>
    </w:p>
    <w:p>
      <w:r>
        <w:rPr>
          <w:rFonts w:ascii="Courier New" w:hAnsi="Courier New"/>
          <w:sz w:val="17"/>
        </w:rPr>
        <w:t xml:space="preserve">bei Teilnahme an einem Impfprogramm: Samen Methode: Virusnachweis Zellkultur    Wiederholung der Untersuchung nach 120 Tagen</w:t>
      </w:r>
    </w:p>
    <w:p>
      <w:r>
        <w:rPr>
          <w:color w:val="555555"/>
          <w:sz w:val="17"/>
        </w:rPr>
        <w:t xml:space="preserve">Zitiervorschlag: Anlage 2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