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SamEnV — Kennzeichnungsnummer der Besamungsstation</w:t>
      </w:r>
    </w:p>
    <w:p>
      <w:r>
        <w:rPr>
          <w:color w:val="555555"/>
          <w:sz w:val="18"/>
        </w:rPr>
        <w:t xml:space="preserve">Samenverordnung</w:t>
      </w:r>
    </w:p>
    <w:p>
      <w:r>
        <w:rPr>
          <w:color w:val="555555"/>
          <w:sz w:val="18"/>
        </w:rPr>
        <w:t xml:space="preserve">Historische Fassung: Stand 10.06.2019 bis 22.07.2021. Dies ist nicht die aktuelle Fassung.</w:t>
      </w:r>
    </w:p>
    <w:p>
      <w:r>
        <w:t xml:space="preserve">(1) Mit der Erlaubnis nach § 17 Abs. 1 des Tierzuchtgesetzes erteilt die zuständige Behörde der Besamungsstation eine Nummer für die Kennzeichnung des von ihr gewonnenen Samens. Diese Kennzeichnungsnummer besteht aus den zwei Buchstaben der bestehenden Landeskennzeichnung des Landes, in dem die zuständige Behörde gelegen ist, gefolgt von dem Buchstaben B und einem Buchstaben für die jeweilige Tierart sowie einer Folge von vier Ziffern. Als Buchstabe für die jeweilige Tierart ist für Rinder der Buchstabe R, für Schweine der Buchstabe S, für Equiden der Buchstabe E und für Schafe und Ziegen der Buchstabe Z zu vergeben.</w:t>
      </w:r>
    </w:p>
    <w:p>
      <w:r>
        <w:t xml:space="preserve">(2) Die zuständige Behörde erteilt einer Besamungsstation, deren Erlaubnis nach § 28 Abs. 3 des Tierzuchtgesetzes fortgilt, innerhalb von zwei Wochen nach dem 29. Oktober 2008 eine Kennzeichnungsnummer entsprechend Absatz 1 Satz 2.</w:t>
      </w:r>
    </w:p>
    <w:p>
      <w:r>
        <w:rPr>
          <w:color w:val="555555"/>
          <w:sz w:val="17"/>
        </w:rPr>
        <w:t xml:space="preserve">Zitiervorschlag: § 5 SamEnV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https://recht.nulegal.eu/gesetze/SamEnV/5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