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SamEnV — Ordnungswidrigkeiten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Ordnungswidrig im Sinne des § 26 Abs. 1 Nr. 4 des Tierzuchtgesetzes handelt, wer vorsätzlich oder fahrlässig</w:t>
      </w:r>
    </w:p>
    <w:p>
      <w:pPr>
        <w:ind w:left="420"/>
      </w:pPr>
      <w:r>
        <w:t xml:space="preserve">1. entgegen § 3 Nr. 2 nicht sicherstellt, dass Samen gekennzeichnet oder in der dort vorgeschriebenen Weise gelagert wird,</w:t>
      </w:r>
    </w:p>
    <w:p>
      <w:pPr>
        <w:ind w:left="420"/>
      </w:pPr>
      <w:r>
        <w:t xml:space="preserve">2. entgegen § 3 Nr. 4 nicht sicherstellt, dass die dort genannten Tiere in der dort vorgeschriebenen Weise untersucht werden,</w:t>
      </w:r>
    </w:p>
    <w:p>
      <w:pPr>
        <w:ind w:left="420"/>
      </w:pPr>
      <w:r>
        <w:t xml:space="preserve">3. entgegen § 3 Nr. 5 oder Nr. 6 nicht sicherstellt, dass bei den dort genannten Tieren eine dort genannte Untersuchung durchgeführt wird,</w:t>
      </w:r>
    </w:p>
    <w:p>
      <w:pPr>
        <w:ind w:left="420"/>
      </w:pPr>
      <w:r>
        <w:t xml:space="preserve">4. einer Vorschrift des § 3 Nr. 8 über die Behandlung von Tieren und deren Samen zuwiderhandelt,</w:t>
      </w:r>
    </w:p>
    <w:p>
      <w:pPr>
        <w:ind w:left="420"/>
      </w:pPr>
      <w:r>
        <w:t xml:space="preserve">5. entgegen § 9 Abs. 1 Prüfsamen zur Besamung von Tieren einsetzt,</w:t>
      </w:r>
    </w:p>
    <w:p>
      <w:pPr>
        <w:ind w:left="420"/>
      </w:pPr>
      <w:r>
        <w:t xml:space="preserve">6. entgegen § 9 Abs. 2 Satz 1 nicht sicherstellt, dass die Abstammung erfasst oder aufgezeichnet wird,</w:t>
      </w:r>
    </w:p>
    <w:p>
      <w:pPr>
        <w:ind w:left="420"/>
      </w:pPr>
      <w:r>
        <w:t xml:space="preserve">7. entgegen § 9 Abs. 2 Satz 2 die Abstammung nicht oder nicht in der dort vorgeschriebenen Weise überprüft,</w:t>
      </w:r>
    </w:p>
    <w:p>
      <w:pPr>
        <w:ind w:left="420"/>
      </w:pPr>
      <w:r>
        <w:t xml:space="preserve">8. entgegen § 9 Abs. 3 nicht sicherstellt, dass der Prüfsamen in der dort vorgeschriebenen Weise verteilt wird,</w:t>
      </w:r>
    </w:p>
    <w:p>
      <w:pPr>
        <w:ind w:left="420"/>
      </w:pPr>
      <w:r>
        <w:t xml:space="preserve">9. entgegen § 9 Abs. 4 Satz 2 nicht sicherstellt, dass dort genannte Wertgrenzen oder Zeitabschnitte eingehalten werden,</w:t>
      </w:r>
    </w:p>
    <w:p>
      <w:pPr>
        <w:ind w:left="420"/>
      </w:pPr>
      <w:r>
        <w:t xml:space="preserve">10. entgegen § 9 Abs. 6 eine dort genannte Aufzeichnung nicht, nicht richtig, nicht vollständig oder nicht rechtzeitig macht,</w:t>
      </w:r>
    </w:p>
    <w:p>
      <w:pPr>
        <w:ind w:left="420"/>
      </w:pPr>
      <w:r>
        <w:t xml:space="preserve">11. entgegen § 9 Abs. 7 eine Anzeige nicht, nicht richtig oder nicht rechtzeitig erstattet,</w:t>
      </w:r>
    </w:p>
    <w:p>
      <w:pPr>
        <w:ind w:left="420"/>
      </w:pPr>
      <w:r>
        <w:t xml:space="preserve">12. entgegen § 11 Nr. 2 nicht sicherstellt, dass Eizellen und Embryonen gekennzeichnet oder in der dort vorgeschriebenen Weise gelagert werden,</w:t>
      </w:r>
    </w:p>
    <w:p>
      <w:pPr>
        <w:ind w:left="420"/>
      </w:pPr>
      <w:r>
        <w:t xml:space="preserve">13. entgegen § 11 Nr. 5 nicht sicherstellt, dass Tiere frei von melde- oder anzeigepflichtigen Krankheiten sind, oder</w:t>
      </w:r>
    </w:p>
    <w:p>
      <w:pPr>
        <w:ind w:left="420"/>
      </w:pPr>
      <w:r>
        <w:t xml:space="preserve">14. einer Vorschrift des § 11 Nr. 6 über die Behandlung von Tieren und deren Eizellen und Embryonen zuwiderhandelt.</w:t>
      </w:r>
    </w:p>
    <w:p>
      <w:r>
        <w:rPr>
          <w:color w:val="555555"/>
          <w:sz w:val="17"/>
        </w:rPr>
        <w:t xml:space="preserve">Zitiervorschlag: § 17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